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EB20F" w14:textId="77777777" w:rsidR="00426815" w:rsidRPr="00FF37F0" w:rsidRDefault="00426815" w:rsidP="00CC0795">
      <w:pPr>
        <w:spacing w:after="0" w:line="240" w:lineRule="auto"/>
        <w:jc w:val="center"/>
        <w:rPr>
          <w:rFonts w:cstheme="minorHAnsi"/>
          <w:b/>
          <w:bCs/>
          <w:sz w:val="24"/>
          <w:szCs w:val="24"/>
        </w:rPr>
      </w:pPr>
    </w:p>
    <w:p w14:paraId="2052E21E" w14:textId="7E214CD7" w:rsidR="00F726A1" w:rsidRPr="00FF37F0" w:rsidRDefault="00F726A1" w:rsidP="00CC0795">
      <w:pPr>
        <w:spacing w:after="0" w:line="240" w:lineRule="auto"/>
        <w:jc w:val="center"/>
        <w:rPr>
          <w:rFonts w:cstheme="minorHAnsi"/>
          <w:b/>
          <w:bCs/>
          <w:sz w:val="24"/>
          <w:szCs w:val="24"/>
        </w:rPr>
      </w:pPr>
      <w:r w:rsidRPr="00FF37F0">
        <w:rPr>
          <w:rFonts w:cstheme="minorHAnsi"/>
          <w:b/>
          <w:bCs/>
          <w:sz w:val="24"/>
          <w:szCs w:val="24"/>
        </w:rPr>
        <w:t>Joint submission by</w:t>
      </w:r>
      <w:r w:rsidR="005B35B5">
        <w:rPr>
          <w:rFonts w:cstheme="minorHAnsi"/>
          <w:b/>
          <w:bCs/>
          <w:sz w:val="24"/>
          <w:szCs w:val="24"/>
        </w:rPr>
        <w:t xml:space="preserve"> </w:t>
      </w:r>
      <w:r w:rsidR="00DF34E4" w:rsidRPr="006912C2">
        <w:rPr>
          <w:rFonts w:cstheme="minorHAnsi"/>
          <w:b/>
          <w:bCs/>
          <w:sz w:val="24"/>
          <w:szCs w:val="24"/>
        </w:rPr>
        <w:t>AGE Platform Europe, HelpAge International, The Law in the Service of the Elderly and the National Association of Community Legal Centres Australia</w:t>
      </w:r>
      <w:r w:rsidR="00E41A88" w:rsidRPr="00FF37F0">
        <w:rPr>
          <w:rStyle w:val="FootnoteReference"/>
          <w:rFonts w:cstheme="minorHAnsi"/>
          <w:b/>
          <w:bCs/>
          <w:sz w:val="24"/>
          <w:szCs w:val="24"/>
        </w:rPr>
        <w:footnoteReference w:id="1"/>
      </w:r>
    </w:p>
    <w:p w14:paraId="641BD43D" w14:textId="77777777" w:rsidR="00CC0795" w:rsidRDefault="00CC0795" w:rsidP="00CC0795">
      <w:pPr>
        <w:spacing w:after="0" w:line="240" w:lineRule="auto"/>
        <w:jc w:val="center"/>
        <w:rPr>
          <w:rFonts w:cstheme="minorHAnsi"/>
          <w:b/>
          <w:bCs/>
          <w:sz w:val="24"/>
          <w:szCs w:val="24"/>
        </w:rPr>
      </w:pPr>
    </w:p>
    <w:p w14:paraId="4D001C68" w14:textId="5B458A1E" w:rsidR="001A3BD4" w:rsidRPr="00FF37F0" w:rsidRDefault="001A3BD4" w:rsidP="00CC0795">
      <w:pPr>
        <w:spacing w:after="0" w:line="240" w:lineRule="auto"/>
        <w:jc w:val="center"/>
        <w:rPr>
          <w:rFonts w:cstheme="minorHAnsi"/>
          <w:b/>
          <w:bCs/>
          <w:sz w:val="24"/>
          <w:szCs w:val="24"/>
        </w:rPr>
      </w:pPr>
      <w:r w:rsidRPr="00FF37F0">
        <w:rPr>
          <w:rFonts w:cstheme="minorHAnsi"/>
          <w:b/>
          <w:bCs/>
          <w:sz w:val="24"/>
          <w:szCs w:val="24"/>
        </w:rPr>
        <w:t>Open-</w:t>
      </w:r>
      <w:r w:rsidR="00D37DF1" w:rsidRPr="00FF37F0">
        <w:rPr>
          <w:rFonts w:cstheme="minorHAnsi"/>
          <w:b/>
          <w:bCs/>
          <w:sz w:val="24"/>
          <w:szCs w:val="24"/>
        </w:rPr>
        <w:t>e</w:t>
      </w:r>
      <w:r w:rsidR="00DE4CA0" w:rsidRPr="00FF37F0">
        <w:rPr>
          <w:rFonts w:cstheme="minorHAnsi"/>
          <w:b/>
          <w:bCs/>
          <w:sz w:val="24"/>
          <w:szCs w:val="24"/>
        </w:rPr>
        <w:t xml:space="preserve">nded Working Group </w:t>
      </w:r>
      <w:r w:rsidR="006F7CE8">
        <w:rPr>
          <w:rFonts w:cstheme="minorHAnsi"/>
          <w:b/>
          <w:bCs/>
          <w:sz w:val="24"/>
          <w:szCs w:val="24"/>
        </w:rPr>
        <w:t>o</w:t>
      </w:r>
      <w:bookmarkStart w:id="0" w:name="_GoBack"/>
      <w:bookmarkEnd w:id="0"/>
      <w:r w:rsidR="00DE4CA0" w:rsidRPr="00FF37F0">
        <w:rPr>
          <w:rFonts w:cstheme="minorHAnsi"/>
          <w:b/>
          <w:bCs/>
          <w:sz w:val="24"/>
          <w:szCs w:val="24"/>
        </w:rPr>
        <w:t xml:space="preserve">n Ageing, </w:t>
      </w:r>
      <w:r w:rsidR="00D3276E" w:rsidRPr="00FF37F0">
        <w:rPr>
          <w:rFonts w:cstheme="minorHAnsi"/>
          <w:b/>
          <w:bCs/>
          <w:sz w:val="24"/>
          <w:szCs w:val="24"/>
        </w:rPr>
        <w:t>10</w:t>
      </w:r>
      <w:r w:rsidRPr="00FF37F0">
        <w:rPr>
          <w:rFonts w:cstheme="minorHAnsi"/>
          <w:b/>
          <w:bCs/>
          <w:sz w:val="24"/>
          <w:szCs w:val="24"/>
          <w:vertAlign w:val="superscript"/>
        </w:rPr>
        <w:t>th</w:t>
      </w:r>
      <w:r w:rsidR="00DE4CA0" w:rsidRPr="00FF37F0">
        <w:rPr>
          <w:rFonts w:cstheme="minorHAnsi"/>
          <w:b/>
          <w:bCs/>
          <w:sz w:val="24"/>
          <w:szCs w:val="24"/>
        </w:rPr>
        <w:t xml:space="preserve"> Working Session, </w:t>
      </w:r>
      <w:r w:rsidR="00D3276E" w:rsidRPr="00FF37F0">
        <w:rPr>
          <w:rFonts w:cstheme="minorHAnsi"/>
          <w:b/>
          <w:bCs/>
          <w:sz w:val="24"/>
          <w:szCs w:val="24"/>
        </w:rPr>
        <w:t>15-18 April 2019</w:t>
      </w:r>
    </w:p>
    <w:p w14:paraId="06936E46" w14:textId="77777777" w:rsidR="001A3BD4" w:rsidRPr="00FF37F0" w:rsidRDefault="001A3BD4" w:rsidP="00CC0795">
      <w:pPr>
        <w:spacing w:after="0" w:line="240" w:lineRule="auto"/>
        <w:jc w:val="center"/>
        <w:rPr>
          <w:rFonts w:cstheme="minorHAnsi"/>
          <w:b/>
          <w:bCs/>
          <w:sz w:val="24"/>
          <w:szCs w:val="24"/>
        </w:rPr>
      </w:pPr>
    </w:p>
    <w:p w14:paraId="3015892B" w14:textId="5DD0CF6A" w:rsidR="007954AF" w:rsidRPr="00FF37F0" w:rsidRDefault="00D3276E" w:rsidP="00CC0795">
      <w:pPr>
        <w:spacing w:after="0" w:line="240" w:lineRule="auto"/>
        <w:jc w:val="center"/>
        <w:rPr>
          <w:rFonts w:cstheme="minorHAnsi"/>
          <w:b/>
          <w:sz w:val="24"/>
          <w:szCs w:val="24"/>
          <w:u w:val="single"/>
        </w:rPr>
      </w:pPr>
      <w:r w:rsidRPr="00FF37F0">
        <w:rPr>
          <w:rFonts w:cstheme="minorHAnsi"/>
          <w:b/>
          <w:sz w:val="24"/>
          <w:szCs w:val="24"/>
          <w:u w:val="single"/>
        </w:rPr>
        <w:t>Social protection and social security (including social protection floors)</w:t>
      </w:r>
    </w:p>
    <w:p w14:paraId="553A13C6" w14:textId="77777777" w:rsidR="007954AF" w:rsidRPr="00FF37F0" w:rsidRDefault="007954AF" w:rsidP="002702E9">
      <w:pPr>
        <w:spacing w:after="0" w:line="240" w:lineRule="auto"/>
        <w:rPr>
          <w:rFonts w:cstheme="minorHAnsi"/>
          <w:b/>
          <w:bCs/>
          <w:sz w:val="24"/>
          <w:szCs w:val="24"/>
        </w:rPr>
      </w:pPr>
    </w:p>
    <w:p w14:paraId="3AF02C5C" w14:textId="4AB566D9" w:rsidR="00AE2F73" w:rsidRPr="00FF37F0" w:rsidRDefault="00BB7774" w:rsidP="002702E9">
      <w:pPr>
        <w:spacing w:after="0" w:line="240" w:lineRule="auto"/>
        <w:rPr>
          <w:rFonts w:cstheme="minorHAnsi"/>
          <w:bCs/>
          <w:sz w:val="24"/>
          <w:szCs w:val="24"/>
        </w:rPr>
      </w:pPr>
      <w:r w:rsidRPr="00FF37F0">
        <w:rPr>
          <w:rFonts w:cstheme="minorHAnsi"/>
          <w:b/>
          <w:bCs/>
          <w:sz w:val="24"/>
          <w:szCs w:val="24"/>
        </w:rPr>
        <w:t>Authors</w:t>
      </w:r>
    </w:p>
    <w:p w14:paraId="4ECBC51B" w14:textId="4696F7D4" w:rsidR="00DA5FE9" w:rsidRPr="00FF37F0" w:rsidRDefault="006377F3" w:rsidP="002702E9">
      <w:pPr>
        <w:spacing w:after="0" w:line="240" w:lineRule="auto"/>
        <w:rPr>
          <w:rFonts w:cstheme="minorHAnsi"/>
          <w:bCs/>
          <w:sz w:val="24"/>
          <w:szCs w:val="24"/>
        </w:rPr>
      </w:pPr>
      <w:r w:rsidRPr="00FF37F0">
        <w:rPr>
          <w:rFonts w:cstheme="minorHAnsi"/>
          <w:bCs/>
          <w:sz w:val="24"/>
          <w:szCs w:val="24"/>
        </w:rPr>
        <w:t>T</w:t>
      </w:r>
      <w:r w:rsidR="00F726A1" w:rsidRPr="00FF37F0">
        <w:rPr>
          <w:rFonts w:cstheme="minorHAnsi"/>
          <w:bCs/>
          <w:sz w:val="24"/>
          <w:szCs w:val="24"/>
        </w:rPr>
        <w:t>his joint submission</w:t>
      </w:r>
      <w:r w:rsidRPr="00FF37F0">
        <w:rPr>
          <w:rFonts w:cstheme="minorHAnsi"/>
          <w:bCs/>
          <w:sz w:val="24"/>
          <w:szCs w:val="24"/>
        </w:rPr>
        <w:t xml:space="preserve"> is </w:t>
      </w:r>
      <w:r w:rsidR="0014775A" w:rsidRPr="00FF37F0">
        <w:rPr>
          <w:rFonts w:cstheme="minorHAnsi"/>
          <w:bCs/>
          <w:sz w:val="24"/>
          <w:szCs w:val="24"/>
        </w:rPr>
        <w:t xml:space="preserve">authored </w:t>
      </w:r>
      <w:r w:rsidRPr="00FF37F0">
        <w:rPr>
          <w:rFonts w:cstheme="minorHAnsi"/>
          <w:bCs/>
          <w:sz w:val="24"/>
          <w:szCs w:val="24"/>
        </w:rPr>
        <w:t xml:space="preserve">by </w:t>
      </w:r>
      <w:r w:rsidR="00DE4CA0" w:rsidRPr="00FF37F0">
        <w:rPr>
          <w:rFonts w:cstheme="minorHAnsi"/>
          <w:sz w:val="24"/>
          <w:szCs w:val="24"/>
        </w:rPr>
        <w:t>Robin Allen (Cloisters), Andrew Byrnes (</w:t>
      </w:r>
      <w:r w:rsidR="00750046" w:rsidRPr="00FF37F0">
        <w:rPr>
          <w:rFonts w:cstheme="minorHAnsi"/>
          <w:sz w:val="24"/>
          <w:szCs w:val="24"/>
        </w:rPr>
        <w:t>Australian Human Rights Institute, Faculty of Law, University of New South Wales</w:t>
      </w:r>
      <w:r w:rsidR="00DE4CA0" w:rsidRPr="00FF37F0">
        <w:rPr>
          <w:rFonts w:cstheme="minorHAnsi"/>
          <w:sz w:val="24"/>
          <w:szCs w:val="24"/>
        </w:rPr>
        <w:t xml:space="preserve">), Israel (Issi) Doron (University of Haifa), Nena Georgantzi (AGE Platform Europe / National University of Ireland Galway), Bill Mitchell (National Association of Community Legal Centres, Australia) and Bridget Sleap (HelpAge International). </w:t>
      </w:r>
      <w:r w:rsidR="00DA5FE9" w:rsidRPr="00FF37F0">
        <w:rPr>
          <w:rFonts w:cstheme="minorHAnsi"/>
          <w:sz w:val="24"/>
          <w:szCs w:val="24"/>
        </w:rPr>
        <w:t>Our views do not necessarily reflect the broad and consensual positions of the organisations we represent, which will be submitted separately.</w:t>
      </w:r>
    </w:p>
    <w:p w14:paraId="32900295" w14:textId="77777777" w:rsidR="00DA5FE9" w:rsidRPr="00FF37F0" w:rsidRDefault="00DA5FE9" w:rsidP="002702E9">
      <w:pPr>
        <w:pStyle w:val="ListParagraph"/>
        <w:spacing w:after="0" w:line="240" w:lineRule="auto"/>
        <w:ind w:left="360"/>
        <w:rPr>
          <w:rFonts w:cstheme="minorHAnsi"/>
          <w:b/>
          <w:bCs/>
          <w:sz w:val="24"/>
          <w:szCs w:val="24"/>
        </w:rPr>
      </w:pPr>
    </w:p>
    <w:p w14:paraId="7065273D" w14:textId="18E81E31" w:rsidR="00AE2F73" w:rsidRPr="00FF37F0" w:rsidRDefault="008D4C26" w:rsidP="002702E9">
      <w:pPr>
        <w:spacing w:after="0" w:line="240" w:lineRule="auto"/>
        <w:rPr>
          <w:rFonts w:cstheme="minorHAnsi"/>
          <w:b/>
          <w:bCs/>
          <w:sz w:val="24"/>
          <w:szCs w:val="24"/>
        </w:rPr>
      </w:pPr>
      <w:r w:rsidRPr="00FF37F0">
        <w:rPr>
          <w:rFonts w:cstheme="minorHAnsi"/>
          <w:b/>
          <w:bCs/>
          <w:sz w:val="24"/>
          <w:szCs w:val="24"/>
        </w:rPr>
        <w:t>Context</w:t>
      </w:r>
      <w:r w:rsidR="007E08C6" w:rsidRPr="00FF37F0">
        <w:rPr>
          <w:rFonts w:cstheme="minorHAnsi"/>
          <w:b/>
          <w:bCs/>
          <w:sz w:val="24"/>
          <w:szCs w:val="24"/>
        </w:rPr>
        <w:t xml:space="preserve"> of Response</w:t>
      </w:r>
    </w:p>
    <w:p w14:paraId="15641C00" w14:textId="318459EB" w:rsidR="00C54AA0" w:rsidRPr="00FF37F0" w:rsidRDefault="006377F3" w:rsidP="002702E9">
      <w:pPr>
        <w:spacing w:after="0" w:line="240" w:lineRule="auto"/>
        <w:rPr>
          <w:rStyle w:val="Hyperlink"/>
          <w:rFonts w:cstheme="minorHAnsi"/>
          <w:b/>
          <w:color w:val="auto"/>
          <w:sz w:val="24"/>
          <w:szCs w:val="24"/>
          <w:u w:val="none"/>
        </w:rPr>
      </w:pPr>
      <w:r w:rsidRPr="00FF37F0">
        <w:rPr>
          <w:rFonts w:cstheme="minorHAnsi"/>
          <w:bCs/>
          <w:sz w:val="24"/>
          <w:szCs w:val="24"/>
        </w:rPr>
        <w:t>This response addresses the guiding questions from a global perspective.</w:t>
      </w:r>
      <w:r w:rsidR="008D4C26" w:rsidRPr="00FF37F0">
        <w:rPr>
          <w:rFonts w:cstheme="minorHAnsi"/>
          <w:bCs/>
          <w:sz w:val="24"/>
          <w:szCs w:val="24"/>
        </w:rPr>
        <w:t xml:space="preserve"> It </w:t>
      </w:r>
      <w:r w:rsidR="0017041F">
        <w:rPr>
          <w:rFonts w:cstheme="minorHAnsi"/>
          <w:bCs/>
          <w:sz w:val="24"/>
          <w:szCs w:val="24"/>
        </w:rPr>
        <w:t>summarises</w:t>
      </w:r>
      <w:r w:rsidR="008D4C26" w:rsidRPr="00FF37F0">
        <w:rPr>
          <w:rFonts w:cstheme="minorHAnsi"/>
          <w:bCs/>
          <w:sz w:val="24"/>
          <w:szCs w:val="24"/>
        </w:rPr>
        <w:t xml:space="preserve"> a more comprehensive statement</w:t>
      </w:r>
      <w:r w:rsidR="00BA7720" w:rsidRPr="00FF37F0">
        <w:rPr>
          <w:rFonts w:cstheme="minorHAnsi"/>
          <w:bCs/>
          <w:sz w:val="24"/>
          <w:szCs w:val="24"/>
        </w:rPr>
        <w:t xml:space="preserve"> </w:t>
      </w:r>
      <w:r w:rsidR="00C54AA0" w:rsidRPr="00FF37F0">
        <w:rPr>
          <w:rFonts w:cstheme="minorHAnsi"/>
          <w:bCs/>
          <w:sz w:val="24"/>
          <w:szCs w:val="24"/>
        </w:rPr>
        <w:t>which will be</w:t>
      </w:r>
      <w:r w:rsidR="000E3D09" w:rsidRPr="00FF37F0">
        <w:rPr>
          <w:rFonts w:cstheme="minorHAnsi"/>
          <w:bCs/>
          <w:sz w:val="24"/>
          <w:szCs w:val="24"/>
        </w:rPr>
        <w:t xml:space="preserve"> provided </w:t>
      </w:r>
      <w:r w:rsidR="00D3276E" w:rsidRPr="00FF37F0">
        <w:rPr>
          <w:rFonts w:cstheme="minorHAnsi"/>
          <w:bCs/>
          <w:sz w:val="24"/>
          <w:szCs w:val="24"/>
        </w:rPr>
        <w:t>to the 10</w:t>
      </w:r>
      <w:r w:rsidR="00BA7720" w:rsidRPr="00FF37F0">
        <w:rPr>
          <w:rFonts w:cstheme="minorHAnsi"/>
          <w:bCs/>
          <w:sz w:val="24"/>
          <w:szCs w:val="24"/>
          <w:vertAlign w:val="superscript"/>
        </w:rPr>
        <w:t>th</w:t>
      </w:r>
      <w:r w:rsidR="00BA7720" w:rsidRPr="00FF37F0">
        <w:rPr>
          <w:rFonts w:cstheme="minorHAnsi"/>
          <w:bCs/>
          <w:sz w:val="24"/>
          <w:szCs w:val="24"/>
        </w:rPr>
        <w:t xml:space="preserve"> working session</w:t>
      </w:r>
      <w:r w:rsidR="00DE4CA0" w:rsidRPr="00FF37F0">
        <w:rPr>
          <w:rFonts w:cstheme="minorHAnsi"/>
          <w:bCs/>
          <w:sz w:val="24"/>
          <w:szCs w:val="24"/>
        </w:rPr>
        <w:t>.</w:t>
      </w:r>
    </w:p>
    <w:p w14:paraId="166C8BE1" w14:textId="6810B3F5" w:rsidR="00DE4CA0" w:rsidRPr="00FF37F0" w:rsidRDefault="00DE4CA0" w:rsidP="002702E9">
      <w:pPr>
        <w:pStyle w:val="NoSpacing"/>
        <w:rPr>
          <w:rFonts w:cstheme="minorHAnsi"/>
          <w:b/>
          <w:sz w:val="24"/>
          <w:szCs w:val="24"/>
          <w:lang w:val="en-GB"/>
        </w:rPr>
      </w:pPr>
    </w:p>
    <w:p w14:paraId="6F3052A7" w14:textId="0449C670" w:rsidR="00CA51DE" w:rsidRPr="00FF37F0" w:rsidRDefault="00D3276E" w:rsidP="002702E9">
      <w:pPr>
        <w:pStyle w:val="NoSpacing"/>
        <w:rPr>
          <w:rFonts w:cstheme="minorHAnsi"/>
          <w:b/>
          <w:sz w:val="24"/>
          <w:szCs w:val="24"/>
          <w:lang w:val="en-GB"/>
        </w:rPr>
      </w:pPr>
      <w:r w:rsidRPr="00FF37F0">
        <w:rPr>
          <w:rFonts w:cstheme="minorHAnsi"/>
          <w:b/>
          <w:sz w:val="24"/>
          <w:szCs w:val="24"/>
          <w:lang w:val="en-GB"/>
        </w:rPr>
        <w:t>Question 1: International legal framework</w:t>
      </w:r>
    </w:p>
    <w:p w14:paraId="26142235" w14:textId="39916E1D" w:rsidR="007B27F5" w:rsidRPr="00FF37F0" w:rsidRDefault="007B27F5" w:rsidP="002702E9">
      <w:pPr>
        <w:spacing w:after="0" w:line="240" w:lineRule="auto"/>
        <w:rPr>
          <w:rFonts w:cstheme="minorHAnsi"/>
          <w:sz w:val="24"/>
          <w:szCs w:val="24"/>
        </w:rPr>
      </w:pPr>
      <w:r w:rsidRPr="00FF37F0">
        <w:rPr>
          <w:rFonts w:cstheme="minorHAnsi"/>
          <w:sz w:val="24"/>
          <w:szCs w:val="24"/>
        </w:rPr>
        <w:t>Despite</w:t>
      </w:r>
      <w:r w:rsidR="000E3D09" w:rsidRPr="00FF37F0">
        <w:rPr>
          <w:rFonts w:cstheme="minorHAnsi"/>
          <w:sz w:val="24"/>
          <w:szCs w:val="24"/>
        </w:rPr>
        <w:t xml:space="preserve"> provisions</w:t>
      </w:r>
      <w:r w:rsidRPr="00FF37F0">
        <w:rPr>
          <w:rFonts w:cstheme="minorHAnsi"/>
          <w:sz w:val="24"/>
          <w:szCs w:val="24"/>
        </w:rPr>
        <w:t xml:space="preserve"> on the </w:t>
      </w:r>
      <w:r w:rsidRPr="00FF37F0">
        <w:rPr>
          <w:rFonts w:cstheme="minorHAnsi"/>
          <w:bCs/>
          <w:sz w:val="24"/>
          <w:szCs w:val="24"/>
        </w:rPr>
        <w:t>right to social security and social protection</w:t>
      </w:r>
      <w:r w:rsidR="00793365">
        <w:rPr>
          <w:rFonts w:cstheme="minorHAnsi"/>
          <w:bCs/>
          <w:sz w:val="24"/>
          <w:szCs w:val="24"/>
        </w:rPr>
        <w:t>,</w:t>
      </w:r>
      <w:r w:rsidRPr="00FF37F0">
        <w:rPr>
          <w:rStyle w:val="FootnoteReference"/>
          <w:rFonts w:cstheme="minorHAnsi"/>
          <w:bCs/>
          <w:sz w:val="24"/>
          <w:szCs w:val="24"/>
        </w:rPr>
        <w:footnoteReference w:id="2"/>
      </w:r>
      <w:r w:rsidR="000E3D09" w:rsidRPr="00FF37F0">
        <w:rPr>
          <w:rFonts w:cstheme="minorHAnsi"/>
          <w:sz w:val="24"/>
          <w:szCs w:val="24"/>
        </w:rPr>
        <w:t xml:space="preserve"> there are unique disadvantages and aspects of the right in older age which are not adequately provided f</w:t>
      </w:r>
      <w:r w:rsidRPr="00FF37F0">
        <w:rPr>
          <w:rFonts w:cstheme="minorHAnsi"/>
          <w:sz w:val="24"/>
          <w:szCs w:val="24"/>
        </w:rPr>
        <w:t xml:space="preserve">or in existing human rights law. </w:t>
      </w:r>
    </w:p>
    <w:p w14:paraId="24252160" w14:textId="77777777" w:rsidR="007B27F5" w:rsidRPr="00FF37F0" w:rsidRDefault="007B27F5" w:rsidP="002702E9">
      <w:pPr>
        <w:spacing w:after="0" w:line="240" w:lineRule="auto"/>
        <w:rPr>
          <w:rFonts w:cstheme="minorHAnsi"/>
          <w:sz w:val="24"/>
          <w:szCs w:val="24"/>
        </w:rPr>
      </w:pPr>
    </w:p>
    <w:p w14:paraId="735D274C" w14:textId="22622E95" w:rsidR="00FF37F0" w:rsidRPr="00FF37F0" w:rsidRDefault="007B27F5" w:rsidP="002702E9">
      <w:pPr>
        <w:spacing w:after="0" w:line="240" w:lineRule="auto"/>
        <w:rPr>
          <w:rFonts w:cstheme="minorHAnsi"/>
          <w:sz w:val="24"/>
          <w:szCs w:val="24"/>
        </w:rPr>
      </w:pPr>
      <w:r w:rsidRPr="00FF37F0">
        <w:rPr>
          <w:rFonts w:cstheme="minorHAnsi"/>
          <w:sz w:val="24"/>
          <w:szCs w:val="24"/>
        </w:rPr>
        <w:t>International human rights standards are n</w:t>
      </w:r>
      <w:r w:rsidR="00FF37F0">
        <w:rPr>
          <w:rFonts w:cstheme="minorHAnsi"/>
          <w:sz w:val="24"/>
          <w:szCs w:val="24"/>
        </w:rPr>
        <w:t>eeded</w:t>
      </w:r>
      <w:r w:rsidR="00986F83">
        <w:rPr>
          <w:rFonts w:cstheme="minorHAnsi"/>
          <w:sz w:val="24"/>
          <w:szCs w:val="24"/>
        </w:rPr>
        <w:t xml:space="preserve"> to guarantee</w:t>
      </w:r>
      <w:r w:rsidR="00FF37F0">
        <w:rPr>
          <w:rFonts w:cstheme="minorHAnsi"/>
          <w:sz w:val="24"/>
          <w:szCs w:val="24"/>
        </w:rPr>
        <w:t xml:space="preserve"> </w:t>
      </w:r>
      <w:r w:rsidR="002702E9">
        <w:rPr>
          <w:rFonts w:cstheme="minorHAnsi"/>
          <w:sz w:val="24"/>
          <w:szCs w:val="24"/>
        </w:rPr>
        <w:t xml:space="preserve">right of older persons </w:t>
      </w:r>
      <w:r w:rsidR="00FF37F0" w:rsidRPr="00FF37F0">
        <w:rPr>
          <w:rFonts w:cstheme="minorHAnsi"/>
          <w:sz w:val="24"/>
          <w:szCs w:val="24"/>
        </w:rPr>
        <w:t>to social security and social protection without discrimination based on age or any other ground, so they can live with dignity and fully participate in society.</w:t>
      </w:r>
    </w:p>
    <w:p w14:paraId="57B9769C" w14:textId="77777777" w:rsidR="00FF37F0" w:rsidRPr="00FF37F0" w:rsidRDefault="00FF37F0" w:rsidP="002702E9">
      <w:pPr>
        <w:spacing w:after="0" w:line="240" w:lineRule="auto"/>
        <w:rPr>
          <w:rFonts w:cstheme="minorHAnsi"/>
          <w:b/>
          <w:sz w:val="24"/>
          <w:szCs w:val="24"/>
        </w:rPr>
      </w:pPr>
    </w:p>
    <w:p w14:paraId="01081D03" w14:textId="77777777" w:rsidR="00FF37F0" w:rsidRPr="00FF37F0" w:rsidRDefault="00FF37F0" w:rsidP="002702E9">
      <w:pPr>
        <w:spacing w:after="0" w:line="240" w:lineRule="auto"/>
        <w:rPr>
          <w:rFonts w:cstheme="minorHAnsi"/>
          <w:sz w:val="24"/>
          <w:szCs w:val="24"/>
        </w:rPr>
      </w:pPr>
      <w:r w:rsidRPr="00FF37F0">
        <w:rPr>
          <w:rFonts w:cstheme="minorHAnsi"/>
          <w:b/>
          <w:sz w:val="24"/>
          <w:szCs w:val="24"/>
        </w:rPr>
        <w:t>Scope</w:t>
      </w:r>
      <w:r w:rsidRPr="00FF37F0">
        <w:rPr>
          <w:rFonts w:cstheme="minorHAnsi"/>
          <w:sz w:val="24"/>
          <w:szCs w:val="24"/>
        </w:rPr>
        <w:t xml:space="preserve"> </w:t>
      </w:r>
    </w:p>
    <w:p w14:paraId="2F4DA381" w14:textId="3384AD14" w:rsidR="00FF37F0" w:rsidRPr="00FF37F0" w:rsidRDefault="00FF37F0" w:rsidP="002702E9">
      <w:pPr>
        <w:pStyle w:val="ListParagraph"/>
        <w:numPr>
          <w:ilvl w:val="0"/>
          <w:numId w:val="32"/>
        </w:numPr>
        <w:spacing w:after="0" w:line="240" w:lineRule="auto"/>
        <w:rPr>
          <w:rFonts w:cstheme="minorHAnsi"/>
          <w:b/>
          <w:sz w:val="24"/>
          <w:szCs w:val="24"/>
        </w:rPr>
      </w:pPr>
      <w:r w:rsidRPr="00FF37F0">
        <w:rPr>
          <w:rFonts w:cstheme="minorHAnsi"/>
          <w:sz w:val="24"/>
          <w:szCs w:val="24"/>
        </w:rPr>
        <w:t xml:space="preserve">The right includes social security and social protection measures, whether in cash or kind, to ensure </w:t>
      </w:r>
      <w:r w:rsidR="00986F83">
        <w:rPr>
          <w:rFonts w:cstheme="minorHAnsi"/>
          <w:sz w:val="24"/>
          <w:szCs w:val="24"/>
        </w:rPr>
        <w:t xml:space="preserve">an adequate standard of living, </w:t>
      </w:r>
      <w:r w:rsidRPr="00FF37F0">
        <w:rPr>
          <w:rFonts w:cstheme="minorHAnsi"/>
          <w:sz w:val="24"/>
          <w:szCs w:val="24"/>
        </w:rPr>
        <w:t>adequate income security, access to health care, medication and assistive devices, and access to care and support services for independent living in older age.</w:t>
      </w:r>
    </w:p>
    <w:p w14:paraId="5086542B" w14:textId="77777777" w:rsidR="00FF37F0" w:rsidRPr="00FF37F0" w:rsidRDefault="00FF37F0" w:rsidP="002702E9">
      <w:pPr>
        <w:spacing w:after="0" w:line="240" w:lineRule="auto"/>
        <w:rPr>
          <w:rFonts w:cstheme="minorHAnsi"/>
          <w:b/>
          <w:sz w:val="24"/>
          <w:szCs w:val="24"/>
        </w:rPr>
      </w:pPr>
    </w:p>
    <w:p w14:paraId="4C57E5D3"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Non-discrimination and equality</w:t>
      </w:r>
    </w:p>
    <w:p w14:paraId="6318BCE5" w14:textId="77777777" w:rsidR="00FF37F0" w:rsidRPr="00FF37F0"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 xml:space="preserve">All older people should enjoy this right without discrimination on the ground of their age or any other grounds. </w:t>
      </w:r>
    </w:p>
    <w:p w14:paraId="471396F3" w14:textId="77777777" w:rsidR="00FF37F0" w:rsidRPr="00FF37F0" w:rsidRDefault="00FF37F0" w:rsidP="002702E9">
      <w:pPr>
        <w:spacing w:after="0" w:line="240" w:lineRule="auto"/>
        <w:rPr>
          <w:rFonts w:cstheme="minorHAnsi"/>
          <w:b/>
          <w:sz w:val="24"/>
          <w:szCs w:val="24"/>
        </w:rPr>
      </w:pPr>
    </w:p>
    <w:p w14:paraId="5592C87C"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Availability</w:t>
      </w:r>
    </w:p>
    <w:p w14:paraId="7B221F93" w14:textId="48093805" w:rsidR="00FF37F0" w:rsidRPr="00FF37F0"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Social security and social protection schemes must be</w:t>
      </w:r>
      <w:r w:rsidR="004725F9">
        <w:rPr>
          <w:rFonts w:cstheme="minorHAnsi"/>
          <w:sz w:val="24"/>
          <w:szCs w:val="24"/>
        </w:rPr>
        <w:t xml:space="preserve"> universally</w:t>
      </w:r>
      <w:r w:rsidRPr="00FF37F0">
        <w:rPr>
          <w:rFonts w:cstheme="minorHAnsi"/>
          <w:sz w:val="24"/>
          <w:szCs w:val="24"/>
        </w:rPr>
        <w:t xml:space="preserve"> available and in place to ensure older people are provided with social security and social protection </w:t>
      </w:r>
      <w:r w:rsidRPr="00FF37F0">
        <w:rPr>
          <w:rFonts w:cstheme="minorHAnsi"/>
          <w:sz w:val="24"/>
          <w:szCs w:val="24"/>
        </w:rPr>
        <w:lastRenderedPageBreak/>
        <w:t>for the relevant risks and contingenc</w:t>
      </w:r>
      <w:r w:rsidR="00986F83">
        <w:rPr>
          <w:rFonts w:cstheme="minorHAnsi"/>
          <w:sz w:val="24"/>
          <w:szCs w:val="24"/>
        </w:rPr>
        <w:t>i</w:t>
      </w:r>
      <w:r w:rsidRPr="00FF37F0">
        <w:rPr>
          <w:rFonts w:cstheme="minorHAnsi"/>
          <w:sz w:val="24"/>
          <w:szCs w:val="24"/>
        </w:rPr>
        <w:t>es they face, including in relation to care and support.</w:t>
      </w:r>
    </w:p>
    <w:p w14:paraId="67224522" w14:textId="77777777" w:rsidR="00FF37F0" w:rsidRPr="00FF37F0" w:rsidRDefault="00FF37F0" w:rsidP="002702E9">
      <w:pPr>
        <w:spacing w:after="0" w:line="240" w:lineRule="auto"/>
        <w:rPr>
          <w:rFonts w:cstheme="minorHAnsi"/>
          <w:b/>
          <w:sz w:val="24"/>
          <w:szCs w:val="24"/>
        </w:rPr>
      </w:pPr>
    </w:p>
    <w:p w14:paraId="28C31793"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Adequacy</w:t>
      </w:r>
    </w:p>
    <w:p w14:paraId="5F6C1D4B" w14:textId="709AE882" w:rsidR="00FF37F0" w:rsidRPr="00FF37F0"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 xml:space="preserve">Older people have the right to social security and social protection measures, whether in cash or kind, that are of a high enough value, quantity and quality, and for </w:t>
      </w:r>
      <w:r w:rsidR="00DF34E4">
        <w:rPr>
          <w:rFonts w:cstheme="minorHAnsi"/>
          <w:sz w:val="24"/>
          <w:szCs w:val="24"/>
        </w:rPr>
        <w:t xml:space="preserve">the full period of life </w:t>
      </w:r>
      <w:r w:rsidR="00986F83">
        <w:rPr>
          <w:rFonts w:cstheme="minorHAnsi"/>
          <w:sz w:val="24"/>
          <w:szCs w:val="24"/>
        </w:rPr>
        <w:t xml:space="preserve">for an adequate standard of living and so </w:t>
      </w:r>
      <w:r w:rsidRPr="00FF37F0">
        <w:rPr>
          <w:rFonts w:cstheme="minorHAnsi"/>
          <w:sz w:val="24"/>
          <w:szCs w:val="24"/>
        </w:rPr>
        <w:t xml:space="preserve">that they can live autonomous, independent lives with dignity and can fully participate in society. </w:t>
      </w:r>
    </w:p>
    <w:p w14:paraId="51ACBD9B" w14:textId="77777777" w:rsidR="00FF37F0" w:rsidRPr="00FF37F0" w:rsidRDefault="00FF37F0" w:rsidP="002702E9">
      <w:pPr>
        <w:spacing w:after="0" w:line="240" w:lineRule="auto"/>
        <w:rPr>
          <w:rFonts w:cstheme="minorHAnsi"/>
          <w:b/>
          <w:sz w:val="24"/>
          <w:szCs w:val="24"/>
        </w:rPr>
      </w:pPr>
    </w:p>
    <w:p w14:paraId="6AF2CAB5"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Acceptability</w:t>
      </w:r>
    </w:p>
    <w:p w14:paraId="7F577511" w14:textId="77777777" w:rsidR="00FF37F0" w:rsidRPr="00FF37F0"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Older people have the right to social assistance and in-kind social security that is appropriate and acceptable for their needs and preferences.</w:t>
      </w:r>
    </w:p>
    <w:p w14:paraId="5932FBFE" w14:textId="77777777" w:rsidR="00FF37F0" w:rsidRPr="00FF37F0" w:rsidRDefault="00FF37F0" w:rsidP="002702E9">
      <w:pPr>
        <w:spacing w:after="0" w:line="240" w:lineRule="auto"/>
        <w:rPr>
          <w:rFonts w:cstheme="minorHAnsi"/>
          <w:b/>
          <w:sz w:val="24"/>
          <w:szCs w:val="24"/>
        </w:rPr>
      </w:pPr>
    </w:p>
    <w:p w14:paraId="13FA31FE"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Accessibility</w:t>
      </w:r>
    </w:p>
    <w:p w14:paraId="7AB10157" w14:textId="0608010D" w:rsidR="00FF37F0" w:rsidRPr="002702E9"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All older persons have the right to access social security and social protection schemes without discrimination.</w:t>
      </w:r>
    </w:p>
    <w:p w14:paraId="1254D745" w14:textId="6F65E1FE" w:rsidR="00FF37F0" w:rsidRPr="002702E9"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 xml:space="preserve">Older people should have access to support in application processes for social security and social protection measures without delay, including </w:t>
      </w:r>
      <w:r w:rsidR="00986F83">
        <w:rPr>
          <w:rFonts w:cstheme="minorHAnsi"/>
          <w:sz w:val="24"/>
          <w:szCs w:val="24"/>
        </w:rPr>
        <w:t>older persons</w:t>
      </w:r>
      <w:r w:rsidRPr="00FF37F0">
        <w:rPr>
          <w:rFonts w:cstheme="minorHAnsi"/>
          <w:sz w:val="24"/>
          <w:szCs w:val="24"/>
        </w:rPr>
        <w:t xml:space="preserve"> without identity documentation.</w:t>
      </w:r>
    </w:p>
    <w:p w14:paraId="4F738A3C" w14:textId="7932AA43" w:rsidR="00FF37F0" w:rsidRPr="002702E9"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Older people have the right and access to information on all aspects of social security and social protection schemes, including eligibility</w:t>
      </w:r>
      <w:r w:rsidR="00986F83">
        <w:rPr>
          <w:rFonts w:cstheme="minorHAnsi"/>
          <w:sz w:val="24"/>
          <w:szCs w:val="24"/>
        </w:rPr>
        <w:t xml:space="preserve"> and qualification</w:t>
      </w:r>
      <w:r w:rsidRPr="00FF37F0">
        <w:rPr>
          <w:rFonts w:cstheme="minorHAnsi"/>
          <w:sz w:val="24"/>
          <w:szCs w:val="24"/>
        </w:rPr>
        <w:t>.</w:t>
      </w:r>
    </w:p>
    <w:p w14:paraId="5601E397" w14:textId="39159A87" w:rsidR="00FF37F0" w:rsidRPr="002702E9"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Delivery mechanisms for social security and social protection measures must be adapted so they are accessible and affordable for all older people without discrimination.</w:t>
      </w:r>
    </w:p>
    <w:p w14:paraId="21850314" w14:textId="4A5D135E" w:rsidR="00FF37F0" w:rsidRPr="00FF37F0" w:rsidRDefault="00FF37F0" w:rsidP="002702E9">
      <w:pPr>
        <w:pStyle w:val="ListParagraph"/>
        <w:numPr>
          <w:ilvl w:val="0"/>
          <w:numId w:val="32"/>
        </w:numPr>
        <w:spacing w:after="0" w:line="240" w:lineRule="auto"/>
        <w:rPr>
          <w:rFonts w:cstheme="minorHAnsi"/>
          <w:sz w:val="24"/>
          <w:szCs w:val="24"/>
        </w:rPr>
      </w:pPr>
      <w:r w:rsidRPr="00FF37F0">
        <w:rPr>
          <w:rFonts w:cstheme="minorHAnsi"/>
          <w:sz w:val="24"/>
          <w:szCs w:val="24"/>
        </w:rPr>
        <w:t>The right shall include access to, and portability of, social security and social protection measures.</w:t>
      </w:r>
    </w:p>
    <w:p w14:paraId="06D3ED56" w14:textId="77777777" w:rsidR="00FF37F0" w:rsidRPr="00FF37F0" w:rsidRDefault="00FF37F0" w:rsidP="002702E9">
      <w:pPr>
        <w:spacing w:after="0" w:line="240" w:lineRule="auto"/>
        <w:rPr>
          <w:rFonts w:cstheme="minorHAnsi"/>
          <w:b/>
          <w:sz w:val="24"/>
          <w:szCs w:val="24"/>
        </w:rPr>
      </w:pPr>
    </w:p>
    <w:p w14:paraId="0B44B245"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Autonomy</w:t>
      </w:r>
    </w:p>
    <w:p w14:paraId="6577B31E" w14:textId="77777777" w:rsidR="00FF37F0" w:rsidRPr="00FF37F0" w:rsidRDefault="00FF37F0" w:rsidP="002702E9">
      <w:pPr>
        <w:pStyle w:val="ListParagraph"/>
        <w:numPr>
          <w:ilvl w:val="0"/>
          <w:numId w:val="33"/>
        </w:numPr>
        <w:spacing w:after="0" w:line="240" w:lineRule="auto"/>
        <w:rPr>
          <w:rFonts w:cstheme="minorHAnsi"/>
          <w:sz w:val="24"/>
          <w:szCs w:val="24"/>
        </w:rPr>
      </w:pPr>
      <w:r w:rsidRPr="00FF37F0">
        <w:rPr>
          <w:rFonts w:cstheme="minorHAnsi"/>
          <w:sz w:val="24"/>
          <w:szCs w:val="24"/>
        </w:rPr>
        <w:t>Older people have the right to unconditional, autonomous use of income from social security and social protection schemes.</w:t>
      </w:r>
    </w:p>
    <w:p w14:paraId="3C1F6CA0" w14:textId="77777777" w:rsidR="00FF37F0" w:rsidRPr="00FF37F0" w:rsidRDefault="00FF37F0" w:rsidP="002702E9">
      <w:pPr>
        <w:spacing w:after="0" w:line="240" w:lineRule="auto"/>
        <w:rPr>
          <w:rFonts w:cstheme="minorHAnsi"/>
          <w:b/>
          <w:sz w:val="24"/>
          <w:szCs w:val="24"/>
        </w:rPr>
      </w:pPr>
    </w:p>
    <w:p w14:paraId="1C971117" w14:textId="77777777" w:rsidR="00FF37F0" w:rsidRPr="00FF37F0" w:rsidRDefault="00FF37F0" w:rsidP="002702E9">
      <w:pPr>
        <w:spacing w:after="0" w:line="240" w:lineRule="auto"/>
        <w:rPr>
          <w:rFonts w:cstheme="minorHAnsi"/>
          <w:b/>
          <w:sz w:val="24"/>
          <w:szCs w:val="24"/>
        </w:rPr>
      </w:pPr>
      <w:r w:rsidRPr="00FF37F0">
        <w:rPr>
          <w:rFonts w:cstheme="minorHAnsi"/>
          <w:b/>
          <w:sz w:val="24"/>
          <w:szCs w:val="24"/>
        </w:rPr>
        <w:t>Accountability, remedies and redress</w:t>
      </w:r>
    </w:p>
    <w:p w14:paraId="6A776676" w14:textId="60ECA59F" w:rsidR="00FF37F0" w:rsidRDefault="00FF37F0" w:rsidP="002702E9">
      <w:pPr>
        <w:pStyle w:val="ListParagraph"/>
        <w:numPr>
          <w:ilvl w:val="0"/>
          <w:numId w:val="33"/>
        </w:numPr>
        <w:spacing w:after="0" w:line="240" w:lineRule="auto"/>
        <w:rPr>
          <w:rFonts w:cstheme="minorHAnsi"/>
          <w:sz w:val="24"/>
          <w:szCs w:val="24"/>
        </w:rPr>
      </w:pPr>
      <w:r w:rsidRPr="00FF37F0">
        <w:rPr>
          <w:rFonts w:cstheme="minorHAnsi"/>
          <w:sz w:val="24"/>
          <w:szCs w:val="24"/>
        </w:rPr>
        <w:t>Older persons have the right to access procedures for complaint, appeal and redress.</w:t>
      </w:r>
    </w:p>
    <w:p w14:paraId="719ABBF8" w14:textId="3A6F4556" w:rsidR="00DD3478" w:rsidRPr="00FF37F0" w:rsidRDefault="00DD3478" w:rsidP="002702E9">
      <w:pPr>
        <w:pStyle w:val="ListParagraph"/>
        <w:numPr>
          <w:ilvl w:val="0"/>
          <w:numId w:val="33"/>
        </w:numPr>
        <w:spacing w:after="0" w:line="240" w:lineRule="auto"/>
        <w:rPr>
          <w:rFonts w:cstheme="minorHAnsi"/>
          <w:sz w:val="24"/>
          <w:szCs w:val="24"/>
        </w:rPr>
      </w:pPr>
      <w:r>
        <w:rPr>
          <w:rFonts w:cstheme="minorHAnsi"/>
          <w:sz w:val="24"/>
          <w:szCs w:val="24"/>
        </w:rPr>
        <w:t xml:space="preserve">Older persons have the right to </w:t>
      </w:r>
      <w:r w:rsidRPr="00A176F5">
        <w:rPr>
          <w:rFonts w:cstheme="minorHAnsi"/>
          <w:sz w:val="24"/>
          <w:szCs w:val="24"/>
        </w:rPr>
        <w:t>arrears of claim or paymen</w:t>
      </w:r>
      <w:r>
        <w:rPr>
          <w:rFonts w:cstheme="minorHAnsi"/>
          <w:sz w:val="24"/>
          <w:szCs w:val="24"/>
        </w:rPr>
        <w:t>t, including but not limited to</w:t>
      </w:r>
      <w:r w:rsidRPr="00A176F5">
        <w:rPr>
          <w:rFonts w:cstheme="minorHAnsi"/>
          <w:sz w:val="24"/>
          <w:szCs w:val="24"/>
        </w:rPr>
        <w:t xml:space="preserve"> where </w:t>
      </w:r>
      <w:r>
        <w:rPr>
          <w:rFonts w:cstheme="minorHAnsi"/>
          <w:sz w:val="24"/>
          <w:szCs w:val="24"/>
        </w:rPr>
        <w:t xml:space="preserve">there has been a </w:t>
      </w:r>
      <w:r w:rsidRPr="00A176F5">
        <w:rPr>
          <w:rFonts w:cstheme="minorHAnsi"/>
          <w:sz w:val="24"/>
          <w:szCs w:val="24"/>
        </w:rPr>
        <w:t>delay in payment processing, incorrect cancellation or</w:t>
      </w:r>
      <w:r>
        <w:rPr>
          <w:rFonts w:cstheme="minorHAnsi"/>
          <w:sz w:val="24"/>
          <w:szCs w:val="24"/>
        </w:rPr>
        <w:t xml:space="preserve"> </w:t>
      </w:r>
      <w:r w:rsidRPr="00A176F5">
        <w:rPr>
          <w:rFonts w:cstheme="minorHAnsi"/>
          <w:sz w:val="24"/>
          <w:szCs w:val="24"/>
        </w:rPr>
        <w:t>reduction</w:t>
      </w:r>
      <w:r>
        <w:rPr>
          <w:rFonts w:cstheme="minorHAnsi"/>
          <w:sz w:val="24"/>
          <w:szCs w:val="24"/>
        </w:rPr>
        <w:t>.</w:t>
      </w:r>
    </w:p>
    <w:p w14:paraId="02827B0B" w14:textId="77777777" w:rsidR="00D3276E" w:rsidRPr="00FF37F0" w:rsidRDefault="00D3276E" w:rsidP="002702E9">
      <w:pPr>
        <w:spacing w:after="0" w:line="240" w:lineRule="auto"/>
        <w:rPr>
          <w:rFonts w:cstheme="minorHAnsi"/>
          <w:b/>
          <w:sz w:val="24"/>
          <w:szCs w:val="24"/>
        </w:rPr>
      </w:pPr>
    </w:p>
    <w:p w14:paraId="3BE4D765" w14:textId="0FE887F1" w:rsidR="00C80FEF" w:rsidRPr="00FF37F0" w:rsidRDefault="00C80FEF" w:rsidP="002702E9">
      <w:pPr>
        <w:spacing w:after="0" w:line="240" w:lineRule="auto"/>
        <w:rPr>
          <w:rFonts w:cstheme="minorHAnsi"/>
          <w:sz w:val="24"/>
          <w:szCs w:val="24"/>
        </w:rPr>
      </w:pPr>
      <w:r w:rsidRPr="00FF37F0">
        <w:rPr>
          <w:rFonts w:cstheme="minorHAnsi"/>
          <w:b/>
          <w:sz w:val="24"/>
          <w:szCs w:val="24"/>
        </w:rPr>
        <w:t>Question 2</w:t>
      </w:r>
      <w:r w:rsidR="000E3D09" w:rsidRPr="00FF37F0">
        <w:rPr>
          <w:rFonts w:cstheme="minorHAnsi"/>
          <w:b/>
          <w:sz w:val="24"/>
          <w:szCs w:val="24"/>
        </w:rPr>
        <w:t>: Guaranteed universal coverage: adequate standard of living</w:t>
      </w:r>
    </w:p>
    <w:p w14:paraId="7FB1CDDB" w14:textId="40AAFBBA" w:rsidR="00CC0795" w:rsidRDefault="004725F9" w:rsidP="002702E9">
      <w:pPr>
        <w:spacing w:after="0" w:line="240" w:lineRule="auto"/>
        <w:rPr>
          <w:rFonts w:cstheme="minorHAnsi"/>
          <w:sz w:val="24"/>
          <w:szCs w:val="24"/>
        </w:rPr>
      </w:pPr>
      <w:bookmarkStart w:id="1" w:name="_Hlk534274572"/>
      <w:r>
        <w:rPr>
          <w:rFonts w:cstheme="minorHAnsi"/>
          <w:sz w:val="24"/>
          <w:szCs w:val="24"/>
        </w:rPr>
        <w:t xml:space="preserve">Many older persons around the world experience poverty and social exclusion due to the total or inadequate existence of social protection mechanisms. </w:t>
      </w:r>
      <w:r w:rsidR="00D37DF1" w:rsidRPr="00FF37F0">
        <w:rPr>
          <w:rFonts w:cstheme="minorHAnsi"/>
          <w:sz w:val="24"/>
          <w:szCs w:val="24"/>
        </w:rPr>
        <w:t>Thirty two percent of the world’s working age population are not covered by legal guarantees of either a contributory or non-contributory pension. This lack of legal coverage is higher for women, 36 per cent of whom have no legal guarantee of a pension.</w:t>
      </w:r>
      <w:r w:rsidR="00D37DF1" w:rsidRPr="00FF37F0">
        <w:rPr>
          <w:rStyle w:val="FootnoteReference"/>
          <w:rFonts w:cstheme="minorHAnsi"/>
          <w:sz w:val="24"/>
          <w:szCs w:val="24"/>
        </w:rPr>
        <w:footnoteReference w:id="3"/>
      </w:r>
      <w:r w:rsidR="006C3AF9" w:rsidRPr="00FF37F0">
        <w:rPr>
          <w:rFonts w:cstheme="minorHAnsi"/>
          <w:sz w:val="24"/>
          <w:szCs w:val="24"/>
        </w:rPr>
        <w:t xml:space="preserve"> This</w:t>
      </w:r>
      <w:r w:rsidR="00D37DF1" w:rsidRPr="00FF37F0">
        <w:rPr>
          <w:rFonts w:cstheme="minorHAnsi"/>
          <w:sz w:val="24"/>
          <w:szCs w:val="24"/>
        </w:rPr>
        <w:t xml:space="preserve"> global </w:t>
      </w:r>
      <w:r w:rsidR="006C3AF9" w:rsidRPr="00FF37F0">
        <w:rPr>
          <w:rFonts w:cstheme="minorHAnsi"/>
          <w:sz w:val="24"/>
          <w:szCs w:val="24"/>
        </w:rPr>
        <w:t xml:space="preserve">figure </w:t>
      </w:r>
      <w:r w:rsidR="00D37DF1" w:rsidRPr="00FF37F0">
        <w:rPr>
          <w:rFonts w:cstheme="minorHAnsi"/>
          <w:sz w:val="24"/>
          <w:szCs w:val="24"/>
        </w:rPr>
        <w:t>masks significant regional variations, ranging from nearly 100 per cent legal coverage in higher income countries down to 23 per cent in sub-Saharan Africa and 24 per cent in Southern Asia.</w:t>
      </w:r>
      <w:r w:rsidR="00D37DF1" w:rsidRPr="00FF37F0">
        <w:rPr>
          <w:rStyle w:val="FootnoteReference"/>
          <w:rFonts w:cstheme="minorHAnsi"/>
          <w:sz w:val="24"/>
          <w:szCs w:val="24"/>
        </w:rPr>
        <w:footnoteReference w:id="4"/>
      </w:r>
      <w:bookmarkEnd w:id="1"/>
      <w:r w:rsidR="006C3AF9" w:rsidRPr="00FF37F0">
        <w:rPr>
          <w:rFonts w:cstheme="minorHAnsi"/>
          <w:sz w:val="24"/>
          <w:szCs w:val="24"/>
        </w:rPr>
        <w:t xml:space="preserve"> </w:t>
      </w:r>
      <w:r w:rsidR="000E3D09" w:rsidRPr="00FF37F0">
        <w:rPr>
          <w:rFonts w:cstheme="minorHAnsi"/>
          <w:sz w:val="24"/>
          <w:szCs w:val="24"/>
        </w:rPr>
        <w:t>The number of old</w:t>
      </w:r>
      <w:r w:rsidR="006C3AF9" w:rsidRPr="00FF37F0">
        <w:rPr>
          <w:rFonts w:cstheme="minorHAnsi"/>
          <w:sz w:val="24"/>
          <w:szCs w:val="24"/>
        </w:rPr>
        <w:t>er</w:t>
      </w:r>
      <w:r w:rsidR="00986F83">
        <w:rPr>
          <w:rFonts w:cstheme="minorHAnsi"/>
          <w:sz w:val="24"/>
          <w:szCs w:val="24"/>
        </w:rPr>
        <w:t xml:space="preserve"> persons</w:t>
      </w:r>
      <w:r w:rsidR="006C3AF9" w:rsidRPr="00FF37F0">
        <w:rPr>
          <w:rFonts w:cstheme="minorHAnsi"/>
          <w:sz w:val="24"/>
          <w:szCs w:val="24"/>
        </w:rPr>
        <w:t xml:space="preserve"> who actually receive</w:t>
      </w:r>
      <w:r w:rsidR="000E3D09" w:rsidRPr="00FF37F0">
        <w:rPr>
          <w:rFonts w:cstheme="minorHAnsi"/>
          <w:sz w:val="24"/>
          <w:szCs w:val="24"/>
        </w:rPr>
        <w:t xml:space="preserve"> social security and social protection measures depends on effective implementation of the law and is therefore likely to be lower than legal coverage rates.</w:t>
      </w:r>
    </w:p>
    <w:p w14:paraId="30CF8C79" w14:textId="77777777" w:rsidR="00F32E4D" w:rsidRDefault="00F32E4D" w:rsidP="002702E9">
      <w:pPr>
        <w:spacing w:after="0" w:line="240" w:lineRule="auto"/>
        <w:rPr>
          <w:rFonts w:cstheme="minorHAnsi"/>
          <w:b/>
          <w:sz w:val="24"/>
          <w:szCs w:val="24"/>
        </w:rPr>
      </w:pPr>
    </w:p>
    <w:p w14:paraId="565CD2C3" w14:textId="38AF1BF0" w:rsidR="000E3D09" w:rsidRPr="00FF37F0" w:rsidRDefault="000E3D09" w:rsidP="002702E9">
      <w:pPr>
        <w:spacing w:after="0" w:line="240" w:lineRule="auto"/>
        <w:rPr>
          <w:rFonts w:cstheme="minorHAnsi"/>
          <w:sz w:val="24"/>
          <w:szCs w:val="24"/>
        </w:rPr>
      </w:pPr>
      <w:r w:rsidRPr="00FF37F0">
        <w:rPr>
          <w:rFonts w:cstheme="minorHAnsi"/>
          <w:b/>
          <w:sz w:val="24"/>
          <w:szCs w:val="24"/>
        </w:rPr>
        <w:t>Question 3: Guaranteed universal coverage: healthcare and care and support for independent living</w:t>
      </w:r>
    </w:p>
    <w:p w14:paraId="2BA61EE2" w14:textId="38192554" w:rsidR="006C3AF9" w:rsidRPr="00FF37F0" w:rsidRDefault="00D37DF1" w:rsidP="002702E9">
      <w:pPr>
        <w:spacing w:after="0" w:line="240" w:lineRule="auto"/>
        <w:rPr>
          <w:rFonts w:cstheme="minorHAnsi"/>
          <w:sz w:val="24"/>
          <w:szCs w:val="24"/>
        </w:rPr>
      </w:pPr>
      <w:bookmarkStart w:id="2" w:name="_Hlk534274762"/>
      <w:r w:rsidRPr="00FF37F0">
        <w:rPr>
          <w:rFonts w:cstheme="minorHAnsi"/>
          <w:sz w:val="24"/>
          <w:szCs w:val="24"/>
        </w:rPr>
        <w:t xml:space="preserve">In terms of access to adequate and affordable health care, 60 per cent of older </w:t>
      </w:r>
      <w:r w:rsidR="00ED7EAE">
        <w:rPr>
          <w:rFonts w:cstheme="minorHAnsi"/>
          <w:sz w:val="24"/>
          <w:szCs w:val="24"/>
        </w:rPr>
        <w:t>persons</w:t>
      </w:r>
      <w:r w:rsidR="00ED7EAE" w:rsidRPr="00FF37F0">
        <w:rPr>
          <w:rFonts w:cstheme="minorHAnsi"/>
          <w:sz w:val="24"/>
          <w:szCs w:val="24"/>
        </w:rPr>
        <w:t xml:space="preserve"> </w:t>
      </w:r>
      <w:r w:rsidRPr="00FF37F0">
        <w:rPr>
          <w:rFonts w:cstheme="minorHAnsi"/>
          <w:sz w:val="24"/>
          <w:szCs w:val="24"/>
        </w:rPr>
        <w:t>surveyed in low- and middle-income countries</w:t>
      </w:r>
      <w:r w:rsidRPr="00FF37F0">
        <w:rPr>
          <w:rStyle w:val="FootnoteReference"/>
          <w:rFonts w:cstheme="minorHAnsi"/>
          <w:sz w:val="24"/>
          <w:szCs w:val="24"/>
        </w:rPr>
        <w:footnoteReference w:id="5"/>
      </w:r>
      <w:r w:rsidRPr="00FF37F0">
        <w:rPr>
          <w:rFonts w:cstheme="minorHAnsi"/>
          <w:sz w:val="24"/>
          <w:szCs w:val="24"/>
        </w:rPr>
        <w:t xml:space="preserve"> and up to 10 per cent in high-income countries</w:t>
      </w:r>
      <w:r w:rsidRPr="00FF37F0">
        <w:rPr>
          <w:rStyle w:val="FootnoteReference"/>
          <w:rFonts w:cstheme="minorHAnsi"/>
          <w:sz w:val="24"/>
          <w:szCs w:val="24"/>
        </w:rPr>
        <w:footnoteReference w:id="6"/>
      </w:r>
      <w:r w:rsidRPr="00FF37F0">
        <w:rPr>
          <w:rFonts w:cstheme="minorHAnsi"/>
          <w:sz w:val="24"/>
          <w:szCs w:val="24"/>
        </w:rPr>
        <w:t xml:space="preserve"> </w:t>
      </w:r>
      <w:r w:rsidR="00ED7EAE">
        <w:rPr>
          <w:rFonts w:cstheme="minorHAnsi"/>
          <w:sz w:val="24"/>
          <w:szCs w:val="24"/>
        </w:rPr>
        <w:t>report</w:t>
      </w:r>
      <w:r w:rsidR="00ED7EAE" w:rsidRPr="00FF37F0">
        <w:rPr>
          <w:rFonts w:cstheme="minorHAnsi"/>
          <w:sz w:val="24"/>
          <w:szCs w:val="24"/>
        </w:rPr>
        <w:t xml:space="preserve"> </w:t>
      </w:r>
      <w:r w:rsidRPr="00FF37F0">
        <w:rPr>
          <w:rFonts w:cstheme="minorHAnsi"/>
          <w:sz w:val="24"/>
          <w:szCs w:val="24"/>
        </w:rPr>
        <w:t xml:space="preserve">they cannot access </w:t>
      </w:r>
      <w:r w:rsidR="00ED7EAE">
        <w:rPr>
          <w:rFonts w:cstheme="minorHAnsi"/>
          <w:sz w:val="24"/>
          <w:szCs w:val="24"/>
        </w:rPr>
        <w:t xml:space="preserve">essential </w:t>
      </w:r>
      <w:r w:rsidRPr="00FF37F0">
        <w:rPr>
          <w:rFonts w:cstheme="minorHAnsi"/>
          <w:sz w:val="24"/>
          <w:szCs w:val="24"/>
        </w:rPr>
        <w:t>healthcar</w:t>
      </w:r>
      <w:r w:rsidR="006C3AF9" w:rsidRPr="00FF37F0">
        <w:rPr>
          <w:rFonts w:cstheme="minorHAnsi"/>
          <w:sz w:val="24"/>
          <w:szCs w:val="24"/>
        </w:rPr>
        <w:t>e because of the cost.</w:t>
      </w:r>
    </w:p>
    <w:p w14:paraId="59FAD433" w14:textId="77777777" w:rsidR="002503F0" w:rsidRPr="00FF37F0" w:rsidRDefault="002503F0" w:rsidP="002702E9">
      <w:pPr>
        <w:spacing w:after="0" w:line="240" w:lineRule="auto"/>
        <w:rPr>
          <w:rFonts w:cstheme="minorHAnsi"/>
          <w:sz w:val="24"/>
          <w:szCs w:val="24"/>
        </w:rPr>
      </w:pPr>
    </w:p>
    <w:p w14:paraId="46D1C644" w14:textId="17704026" w:rsidR="00D37DF1" w:rsidRPr="00FF37F0" w:rsidRDefault="00360924" w:rsidP="002702E9">
      <w:pPr>
        <w:spacing w:after="0" w:line="240" w:lineRule="auto"/>
        <w:rPr>
          <w:rFonts w:cstheme="minorHAnsi"/>
          <w:sz w:val="24"/>
          <w:szCs w:val="24"/>
        </w:rPr>
      </w:pPr>
      <w:r w:rsidRPr="00FF37F0">
        <w:rPr>
          <w:rFonts w:cstheme="minorHAnsi"/>
          <w:sz w:val="24"/>
          <w:szCs w:val="24"/>
        </w:rPr>
        <w:t xml:space="preserve">The prevailing </w:t>
      </w:r>
      <w:r w:rsidR="00986F83">
        <w:rPr>
          <w:rFonts w:cstheme="minorHAnsi"/>
          <w:sz w:val="24"/>
          <w:szCs w:val="24"/>
        </w:rPr>
        <w:t>expectation</w:t>
      </w:r>
      <w:r w:rsidRPr="00FF37F0">
        <w:rPr>
          <w:rFonts w:cstheme="minorHAnsi"/>
          <w:sz w:val="24"/>
          <w:szCs w:val="24"/>
        </w:rPr>
        <w:t xml:space="preserve"> that family members </w:t>
      </w:r>
      <w:r w:rsidR="00ED7EAE">
        <w:rPr>
          <w:rFonts w:cstheme="minorHAnsi"/>
          <w:sz w:val="24"/>
          <w:szCs w:val="24"/>
        </w:rPr>
        <w:t xml:space="preserve">will </w:t>
      </w:r>
      <w:r w:rsidRPr="00FF37F0">
        <w:rPr>
          <w:rFonts w:cstheme="minorHAnsi"/>
          <w:sz w:val="24"/>
          <w:szCs w:val="24"/>
        </w:rPr>
        <w:t xml:space="preserve">provide support to their older relatives has meant care and support is rarely part of the implementation of the right to social security. As a result, </w:t>
      </w:r>
      <w:r w:rsidR="00986F83">
        <w:rPr>
          <w:rFonts w:cstheme="minorHAnsi"/>
          <w:sz w:val="24"/>
          <w:szCs w:val="24"/>
        </w:rPr>
        <w:t>many o</w:t>
      </w:r>
      <w:r w:rsidRPr="00FF37F0">
        <w:rPr>
          <w:rFonts w:cstheme="minorHAnsi"/>
          <w:sz w:val="24"/>
          <w:szCs w:val="24"/>
        </w:rPr>
        <w:t xml:space="preserve">lder </w:t>
      </w:r>
      <w:r w:rsidR="00ED7EAE">
        <w:rPr>
          <w:rFonts w:cstheme="minorHAnsi"/>
          <w:sz w:val="24"/>
          <w:szCs w:val="24"/>
        </w:rPr>
        <w:t>persons</w:t>
      </w:r>
      <w:r w:rsidR="00ED7EAE" w:rsidRPr="00FF37F0">
        <w:rPr>
          <w:rFonts w:cstheme="minorHAnsi"/>
          <w:sz w:val="24"/>
          <w:szCs w:val="24"/>
        </w:rPr>
        <w:t xml:space="preserve"> </w:t>
      </w:r>
      <w:r w:rsidRPr="00FF37F0">
        <w:rPr>
          <w:rFonts w:cstheme="minorHAnsi"/>
          <w:sz w:val="24"/>
          <w:szCs w:val="24"/>
        </w:rPr>
        <w:t xml:space="preserve">do not have access to </w:t>
      </w:r>
      <w:r w:rsidR="001B2D97">
        <w:rPr>
          <w:rFonts w:cstheme="minorHAnsi"/>
          <w:sz w:val="24"/>
          <w:szCs w:val="24"/>
        </w:rPr>
        <w:t xml:space="preserve">essential </w:t>
      </w:r>
      <w:r w:rsidRPr="00FF37F0">
        <w:rPr>
          <w:rFonts w:cstheme="minorHAnsi"/>
          <w:sz w:val="24"/>
          <w:szCs w:val="24"/>
        </w:rPr>
        <w:t xml:space="preserve">care and support services because their families do not provide </w:t>
      </w:r>
      <w:r w:rsidR="001B2D97">
        <w:rPr>
          <w:rFonts w:cstheme="minorHAnsi"/>
          <w:sz w:val="24"/>
          <w:szCs w:val="24"/>
        </w:rPr>
        <w:t>care and support</w:t>
      </w:r>
      <w:r w:rsidRPr="00FF37F0">
        <w:rPr>
          <w:rFonts w:cstheme="minorHAnsi"/>
          <w:sz w:val="24"/>
          <w:szCs w:val="24"/>
        </w:rPr>
        <w:t xml:space="preserve"> or they have no family members to </w:t>
      </w:r>
      <w:r w:rsidR="001B2D97">
        <w:rPr>
          <w:rFonts w:cstheme="minorHAnsi"/>
          <w:sz w:val="24"/>
          <w:szCs w:val="24"/>
        </w:rPr>
        <w:t>provide services</w:t>
      </w:r>
      <w:r w:rsidRPr="00FF37F0">
        <w:rPr>
          <w:rFonts w:cstheme="minorHAnsi"/>
          <w:sz w:val="24"/>
          <w:szCs w:val="24"/>
        </w:rPr>
        <w:t>. T</w:t>
      </w:r>
      <w:r w:rsidR="00D37DF1" w:rsidRPr="00FF37F0">
        <w:rPr>
          <w:rFonts w:cstheme="minorHAnsi"/>
          <w:sz w:val="24"/>
          <w:szCs w:val="24"/>
        </w:rPr>
        <w:t>he I</w:t>
      </w:r>
      <w:r w:rsidR="002503F0" w:rsidRPr="00FF37F0">
        <w:rPr>
          <w:rFonts w:cstheme="minorHAnsi"/>
          <w:sz w:val="24"/>
          <w:szCs w:val="24"/>
        </w:rPr>
        <w:t xml:space="preserve">nternational </w:t>
      </w:r>
      <w:r w:rsidR="00D37DF1" w:rsidRPr="00FF37F0">
        <w:rPr>
          <w:rFonts w:cstheme="minorHAnsi"/>
          <w:sz w:val="24"/>
          <w:szCs w:val="24"/>
        </w:rPr>
        <w:t>L</w:t>
      </w:r>
      <w:r w:rsidR="002503F0" w:rsidRPr="00FF37F0">
        <w:rPr>
          <w:rFonts w:cstheme="minorHAnsi"/>
          <w:sz w:val="24"/>
          <w:szCs w:val="24"/>
        </w:rPr>
        <w:t xml:space="preserve">abour </w:t>
      </w:r>
      <w:r w:rsidR="00D37DF1" w:rsidRPr="00FF37F0">
        <w:rPr>
          <w:rFonts w:cstheme="minorHAnsi"/>
          <w:sz w:val="24"/>
          <w:szCs w:val="24"/>
        </w:rPr>
        <w:t>O</w:t>
      </w:r>
      <w:r w:rsidR="002503F0" w:rsidRPr="00FF37F0">
        <w:rPr>
          <w:rFonts w:cstheme="minorHAnsi"/>
          <w:sz w:val="24"/>
          <w:szCs w:val="24"/>
        </w:rPr>
        <w:t>rganisation</w:t>
      </w:r>
      <w:r w:rsidR="00D37DF1" w:rsidRPr="00FF37F0">
        <w:rPr>
          <w:rFonts w:cstheme="minorHAnsi"/>
          <w:sz w:val="24"/>
          <w:szCs w:val="24"/>
        </w:rPr>
        <w:t xml:space="preserve"> estimates that globally, 13.6 million more formal care workers are needed to provide the care and support that older people need.</w:t>
      </w:r>
      <w:r w:rsidR="00D37DF1" w:rsidRPr="00FF37F0">
        <w:rPr>
          <w:rStyle w:val="FootnoteReference"/>
          <w:rFonts w:eastAsia="Calibri" w:cstheme="minorHAnsi"/>
          <w:sz w:val="24"/>
          <w:szCs w:val="24"/>
        </w:rPr>
        <w:footnoteReference w:id="7"/>
      </w:r>
      <w:r w:rsidR="00D37DF1" w:rsidRPr="00FF37F0">
        <w:rPr>
          <w:rFonts w:cstheme="minorHAnsi"/>
          <w:sz w:val="24"/>
          <w:szCs w:val="24"/>
        </w:rPr>
        <w:t xml:space="preserve">  </w:t>
      </w:r>
      <w:bookmarkEnd w:id="2"/>
    </w:p>
    <w:p w14:paraId="591BFFBF" w14:textId="77777777" w:rsidR="000E3D09" w:rsidRPr="00FF37F0" w:rsidRDefault="000E3D09" w:rsidP="002702E9">
      <w:pPr>
        <w:spacing w:after="0" w:line="240" w:lineRule="auto"/>
        <w:rPr>
          <w:rFonts w:cstheme="minorHAnsi"/>
          <w:b/>
          <w:sz w:val="24"/>
          <w:szCs w:val="24"/>
        </w:rPr>
      </w:pPr>
    </w:p>
    <w:p w14:paraId="3B05402C" w14:textId="758178D3" w:rsidR="00DB217B" w:rsidRPr="00FF37F0" w:rsidRDefault="004A748C" w:rsidP="002702E9">
      <w:pPr>
        <w:spacing w:after="0" w:line="240" w:lineRule="auto"/>
        <w:rPr>
          <w:rFonts w:cstheme="minorHAnsi"/>
          <w:sz w:val="24"/>
          <w:szCs w:val="24"/>
        </w:rPr>
      </w:pPr>
      <w:r w:rsidRPr="00FF37F0">
        <w:rPr>
          <w:rFonts w:cstheme="minorHAnsi"/>
          <w:b/>
          <w:sz w:val="24"/>
          <w:szCs w:val="24"/>
        </w:rPr>
        <w:t>G</w:t>
      </w:r>
      <w:r w:rsidR="00D37DF1" w:rsidRPr="00FF37F0">
        <w:rPr>
          <w:rFonts w:cstheme="minorHAnsi"/>
          <w:b/>
          <w:sz w:val="24"/>
          <w:szCs w:val="24"/>
        </w:rPr>
        <w:t>uiding Question 4: Adequacy</w:t>
      </w:r>
    </w:p>
    <w:p w14:paraId="69D67148" w14:textId="3FE3EE0B" w:rsidR="00D37DF1" w:rsidRPr="00FF37F0" w:rsidRDefault="00257743" w:rsidP="002702E9">
      <w:pPr>
        <w:spacing w:after="0" w:line="240" w:lineRule="auto"/>
        <w:rPr>
          <w:rFonts w:cstheme="minorHAnsi"/>
          <w:sz w:val="24"/>
          <w:szCs w:val="24"/>
        </w:rPr>
      </w:pPr>
      <w:r w:rsidRPr="00FF37F0">
        <w:rPr>
          <w:rFonts w:cstheme="minorHAnsi"/>
          <w:sz w:val="24"/>
          <w:szCs w:val="24"/>
        </w:rPr>
        <w:t xml:space="preserve">An adequate </w:t>
      </w:r>
      <w:r w:rsidR="00907E5B">
        <w:rPr>
          <w:rFonts w:cstheme="minorHAnsi"/>
          <w:sz w:val="24"/>
          <w:szCs w:val="24"/>
        </w:rPr>
        <w:t xml:space="preserve">standard of living </w:t>
      </w:r>
      <w:r w:rsidR="00DF34E4">
        <w:rPr>
          <w:rFonts w:cstheme="minorHAnsi"/>
          <w:sz w:val="24"/>
          <w:szCs w:val="24"/>
        </w:rPr>
        <w:t xml:space="preserve">and adequate income </w:t>
      </w:r>
      <w:r w:rsidRPr="00FF37F0">
        <w:rPr>
          <w:rFonts w:cstheme="minorHAnsi"/>
          <w:sz w:val="24"/>
          <w:szCs w:val="24"/>
        </w:rPr>
        <w:t xml:space="preserve">cannot only be measured in terms of paying for basic survival needs. Rather, under human rights standards, it must allow for full participation in the community and society and guarantee personal dignity. </w:t>
      </w:r>
      <w:r w:rsidR="00D37DF1" w:rsidRPr="00FF37F0">
        <w:rPr>
          <w:rFonts w:cstheme="minorHAnsi"/>
          <w:sz w:val="24"/>
          <w:szCs w:val="24"/>
        </w:rPr>
        <w:t xml:space="preserve">Pensions or other social security benefits tied to poverty thresholds do not allow for </w:t>
      </w:r>
      <w:r w:rsidR="002503F0" w:rsidRPr="00FF37F0">
        <w:rPr>
          <w:rFonts w:cstheme="minorHAnsi"/>
          <w:sz w:val="24"/>
          <w:szCs w:val="24"/>
        </w:rPr>
        <w:t xml:space="preserve">an adequate standard of living or </w:t>
      </w:r>
      <w:r w:rsidR="00D37DF1" w:rsidRPr="00FF37F0">
        <w:rPr>
          <w:rFonts w:cstheme="minorHAnsi"/>
          <w:sz w:val="24"/>
          <w:szCs w:val="24"/>
        </w:rPr>
        <w:t>full participation in society or a dignified life.</w:t>
      </w:r>
      <w:r w:rsidR="00D37DF1" w:rsidRPr="00FF37F0">
        <w:rPr>
          <w:rStyle w:val="FootnoteReference"/>
          <w:rFonts w:cstheme="minorHAnsi"/>
          <w:sz w:val="24"/>
          <w:szCs w:val="24"/>
        </w:rPr>
        <w:footnoteReference w:id="8"/>
      </w:r>
      <w:r w:rsidR="00D37DF1" w:rsidRPr="00FF37F0">
        <w:rPr>
          <w:rFonts w:cstheme="minorHAnsi"/>
          <w:sz w:val="24"/>
          <w:szCs w:val="24"/>
        </w:rPr>
        <w:t xml:space="preserve"> </w:t>
      </w:r>
      <w:r w:rsidR="006C3AF9" w:rsidRPr="00FF37F0">
        <w:rPr>
          <w:rFonts w:cstheme="minorHAnsi"/>
          <w:sz w:val="24"/>
          <w:szCs w:val="24"/>
        </w:rPr>
        <w:t>The</w:t>
      </w:r>
      <w:r w:rsidR="00D37DF1" w:rsidRPr="00FF37F0">
        <w:rPr>
          <w:rFonts w:cstheme="minorHAnsi"/>
          <w:sz w:val="24"/>
          <w:szCs w:val="24"/>
        </w:rPr>
        <w:t xml:space="preserve"> value of non-contributory schemes may be set too low and not fully compensate for lack of coverage of contributory schemes</w:t>
      </w:r>
      <w:r w:rsidR="00D37DF1" w:rsidRPr="00FF37F0">
        <w:rPr>
          <w:rStyle w:val="FootnoteReference"/>
          <w:rFonts w:cstheme="minorHAnsi"/>
          <w:sz w:val="24"/>
          <w:szCs w:val="24"/>
        </w:rPr>
        <w:footnoteReference w:id="9"/>
      </w:r>
      <w:r w:rsidR="006C3AF9" w:rsidRPr="00FF37F0">
        <w:rPr>
          <w:rFonts w:cstheme="minorHAnsi"/>
          <w:sz w:val="24"/>
          <w:szCs w:val="24"/>
        </w:rPr>
        <w:t xml:space="preserve"> </w:t>
      </w:r>
      <w:r w:rsidR="00D37DF1" w:rsidRPr="00FF37F0">
        <w:rPr>
          <w:rFonts w:cstheme="minorHAnsi"/>
          <w:sz w:val="24"/>
          <w:szCs w:val="24"/>
        </w:rPr>
        <w:t xml:space="preserve">and for many the impact of pension reform and privatization of pensions mean that </w:t>
      </w:r>
      <w:r w:rsidR="0050763D" w:rsidRPr="00FF37F0">
        <w:rPr>
          <w:rFonts w:cstheme="minorHAnsi"/>
          <w:sz w:val="24"/>
          <w:szCs w:val="24"/>
        </w:rPr>
        <w:t xml:space="preserve">their </w:t>
      </w:r>
      <w:r w:rsidR="00D37DF1" w:rsidRPr="00FF37F0">
        <w:rPr>
          <w:rFonts w:cstheme="minorHAnsi"/>
          <w:sz w:val="24"/>
          <w:szCs w:val="24"/>
        </w:rPr>
        <w:t>pensions do not meet adequacy standards.</w:t>
      </w:r>
      <w:r w:rsidR="00D37DF1" w:rsidRPr="00FF37F0">
        <w:rPr>
          <w:rStyle w:val="FootnoteReference"/>
          <w:rFonts w:cstheme="minorHAnsi"/>
          <w:sz w:val="24"/>
          <w:szCs w:val="24"/>
        </w:rPr>
        <w:footnoteReference w:id="10"/>
      </w:r>
      <w:r w:rsidR="00D37DF1" w:rsidRPr="00FF37F0">
        <w:rPr>
          <w:rFonts w:cstheme="minorHAnsi"/>
          <w:sz w:val="24"/>
          <w:szCs w:val="24"/>
        </w:rPr>
        <w:t xml:space="preserve"> Payments may also be inadequate for specific sub-populations</w:t>
      </w:r>
      <w:r w:rsidR="00986F83">
        <w:rPr>
          <w:rStyle w:val="FootnoteReference"/>
          <w:rFonts w:cstheme="minorHAnsi"/>
          <w:sz w:val="24"/>
          <w:szCs w:val="24"/>
        </w:rPr>
        <w:footnoteReference w:id="11"/>
      </w:r>
      <w:r w:rsidR="00D37DF1" w:rsidRPr="00FF37F0">
        <w:rPr>
          <w:rFonts w:cstheme="minorHAnsi"/>
          <w:sz w:val="24"/>
          <w:szCs w:val="24"/>
        </w:rPr>
        <w:t xml:space="preserve"> to enjoy an adequate standard of living and cover their needs, both material and in terms of services. </w:t>
      </w:r>
    </w:p>
    <w:p w14:paraId="0D145236" w14:textId="77777777" w:rsidR="00396657" w:rsidRPr="00FF37F0" w:rsidRDefault="00396657" w:rsidP="002702E9">
      <w:pPr>
        <w:pStyle w:val="ListParagraph"/>
        <w:spacing w:after="0" w:line="240" w:lineRule="auto"/>
        <w:ind w:left="360"/>
        <w:rPr>
          <w:rFonts w:cstheme="minorHAnsi"/>
          <w:sz w:val="24"/>
          <w:szCs w:val="24"/>
        </w:rPr>
      </w:pPr>
    </w:p>
    <w:p w14:paraId="4105AF42" w14:textId="2FA05F45" w:rsidR="004A748C" w:rsidRPr="00FF37F0" w:rsidRDefault="00D37DF1" w:rsidP="002702E9">
      <w:pPr>
        <w:spacing w:after="0" w:line="240" w:lineRule="auto"/>
        <w:rPr>
          <w:rFonts w:cstheme="minorHAnsi"/>
          <w:b/>
          <w:sz w:val="24"/>
          <w:szCs w:val="24"/>
        </w:rPr>
      </w:pPr>
      <w:r w:rsidRPr="00FF37F0">
        <w:rPr>
          <w:rFonts w:cstheme="minorHAnsi"/>
          <w:b/>
          <w:sz w:val="24"/>
          <w:szCs w:val="24"/>
        </w:rPr>
        <w:t>Guiding Question 7: Equality and non-discrimination</w:t>
      </w:r>
    </w:p>
    <w:p w14:paraId="7A3E301C" w14:textId="1073AEE4" w:rsidR="006C3AF9" w:rsidRPr="00FF37F0" w:rsidRDefault="009B1D5F" w:rsidP="002702E9">
      <w:pPr>
        <w:spacing w:after="0" w:line="240" w:lineRule="auto"/>
        <w:rPr>
          <w:rFonts w:cstheme="minorHAnsi"/>
          <w:sz w:val="24"/>
          <w:szCs w:val="24"/>
        </w:rPr>
      </w:pPr>
      <w:r w:rsidRPr="00FF37F0">
        <w:rPr>
          <w:rFonts w:cstheme="minorHAnsi"/>
          <w:sz w:val="24"/>
          <w:szCs w:val="24"/>
        </w:rPr>
        <w:t xml:space="preserve">Social protection and social security schemes </w:t>
      </w:r>
      <w:r w:rsidR="006C3AF9" w:rsidRPr="00FF37F0">
        <w:rPr>
          <w:rFonts w:cstheme="minorHAnsi"/>
          <w:sz w:val="24"/>
          <w:szCs w:val="24"/>
        </w:rPr>
        <w:t>currently discriminate against particular</w:t>
      </w:r>
      <w:r w:rsidR="00986F83">
        <w:rPr>
          <w:rFonts w:cstheme="minorHAnsi"/>
          <w:sz w:val="24"/>
          <w:szCs w:val="24"/>
        </w:rPr>
        <w:t xml:space="preserve"> groups of </w:t>
      </w:r>
      <w:r w:rsidR="006C3AF9" w:rsidRPr="00FF37F0">
        <w:rPr>
          <w:rFonts w:cstheme="minorHAnsi"/>
          <w:sz w:val="24"/>
          <w:szCs w:val="24"/>
        </w:rPr>
        <w:t>older persons in a number of ways:</w:t>
      </w:r>
    </w:p>
    <w:p w14:paraId="252343D3" w14:textId="65BDCBC3" w:rsidR="00D4155B" w:rsidRPr="001C12DA" w:rsidRDefault="00257743" w:rsidP="00907E5B">
      <w:pPr>
        <w:pStyle w:val="ListParagraph"/>
        <w:numPr>
          <w:ilvl w:val="0"/>
          <w:numId w:val="33"/>
        </w:numPr>
        <w:spacing w:after="0" w:line="240" w:lineRule="auto"/>
        <w:rPr>
          <w:rFonts w:eastAsia="Times New Roman" w:cstheme="minorHAnsi"/>
          <w:lang w:val="en-AU"/>
        </w:rPr>
      </w:pPr>
      <w:r w:rsidRPr="001C12DA">
        <w:rPr>
          <w:rFonts w:cstheme="minorHAnsi"/>
          <w:sz w:val="24"/>
          <w:szCs w:val="24"/>
        </w:rPr>
        <w:t xml:space="preserve">Gender gaps in social security and social protection are the result of multiple, intersecting and cumulative discrimination against women throughout their lives. These inequalities render women’s contributions to social security systems significantly lower than men’s, leading to lower coverage rates and substantially lower benefit levels for women. </w:t>
      </w:r>
      <w:r w:rsidR="006C3AF9" w:rsidRPr="001C12DA">
        <w:rPr>
          <w:rFonts w:cstheme="minorHAnsi"/>
          <w:sz w:val="24"/>
          <w:szCs w:val="24"/>
        </w:rPr>
        <w:t xml:space="preserve">Even in countries where women enjoy broad access to pensions, their benefit levels are often only a fraction of men’s. In the European Union, women receive a pension that is 38 per cent less than that of </w:t>
      </w:r>
      <w:r w:rsidR="002F0611" w:rsidRPr="001C12DA">
        <w:rPr>
          <w:rFonts w:cstheme="minorHAnsi"/>
          <w:sz w:val="24"/>
          <w:szCs w:val="24"/>
        </w:rPr>
        <w:t>men</w:t>
      </w:r>
      <w:r w:rsidR="006C3AF9" w:rsidRPr="001C12DA">
        <w:rPr>
          <w:rFonts w:cstheme="minorHAnsi"/>
          <w:sz w:val="24"/>
          <w:szCs w:val="24"/>
        </w:rPr>
        <w:t>.</w:t>
      </w:r>
      <w:r w:rsidR="006C3AF9" w:rsidRPr="001C12DA">
        <w:rPr>
          <w:rStyle w:val="FootnoteReference"/>
          <w:rFonts w:cstheme="minorHAnsi"/>
          <w:sz w:val="24"/>
          <w:szCs w:val="24"/>
        </w:rPr>
        <w:footnoteReference w:id="12"/>
      </w:r>
      <w:r w:rsidRPr="001C12DA">
        <w:rPr>
          <w:rFonts w:cstheme="minorHAnsi"/>
          <w:sz w:val="24"/>
          <w:szCs w:val="24"/>
        </w:rPr>
        <w:t xml:space="preserve"> </w:t>
      </w:r>
      <w:r w:rsidR="00D4155B" w:rsidRPr="001C12DA">
        <w:rPr>
          <w:rFonts w:cstheme="minorHAnsi"/>
          <w:sz w:val="24"/>
          <w:szCs w:val="24"/>
        </w:rPr>
        <w:t>In Australia there still remains a significant disparity between the retirement incomes of men and women. I</w:t>
      </w:r>
      <w:r w:rsidR="00D4155B" w:rsidRPr="001C12DA">
        <w:rPr>
          <w:rFonts w:eastAsia="Times New Roman" w:cstheme="minorHAnsi"/>
          <w:sz w:val="24"/>
          <w:szCs w:val="24"/>
          <w:lang w:val="en-AU"/>
        </w:rPr>
        <w:t>n 2015-16 men held around 61.2 per cent of total account balances compared with around 38.7 per cent for women</w:t>
      </w:r>
      <w:r w:rsidR="00D4155B" w:rsidRPr="001C12DA">
        <w:rPr>
          <w:rFonts w:cstheme="minorHAnsi"/>
          <w:sz w:val="24"/>
          <w:szCs w:val="24"/>
        </w:rPr>
        <w:t>.</w:t>
      </w:r>
      <w:r w:rsidR="00D4155B" w:rsidRPr="001C12DA">
        <w:rPr>
          <w:rStyle w:val="FootnoteReference"/>
          <w:rFonts w:cstheme="minorHAnsi"/>
          <w:sz w:val="24"/>
          <w:szCs w:val="24"/>
        </w:rPr>
        <w:footnoteReference w:id="13"/>
      </w:r>
    </w:p>
    <w:p w14:paraId="143ED751" w14:textId="1ECED5F5" w:rsidR="00D37DF1" w:rsidRPr="00FF37F0" w:rsidRDefault="006C3AF9" w:rsidP="00D4155B">
      <w:pPr>
        <w:pStyle w:val="ListParagraph"/>
        <w:numPr>
          <w:ilvl w:val="0"/>
          <w:numId w:val="31"/>
        </w:numPr>
        <w:spacing w:after="0" w:line="240" w:lineRule="auto"/>
        <w:rPr>
          <w:rFonts w:cstheme="minorHAnsi"/>
          <w:sz w:val="24"/>
          <w:szCs w:val="24"/>
        </w:rPr>
      </w:pPr>
      <w:r w:rsidRPr="00FF37F0">
        <w:rPr>
          <w:rFonts w:cstheme="minorHAnsi"/>
          <w:sz w:val="24"/>
          <w:szCs w:val="24"/>
        </w:rPr>
        <w:t>A</w:t>
      </w:r>
      <w:r w:rsidR="00D37DF1" w:rsidRPr="00FF37F0">
        <w:rPr>
          <w:rFonts w:cstheme="minorHAnsi"/>
          <w:sz w:val="24"/>
          <w:szCs w:val="24"/>
        </w:rPr>
        <w:t xml:space="preserve">ccumulated discrimination </w:t>
      </w:r>
      <w:r w:rsidRPr="00FF37F0">
        <w:rPr>
          <w:rFonts w:cstheme="minorHAnsi"/>
          <w:sz w:val="24"/>
          <w:szCs w:val="24"/>
        </w:rPr>
        <w:t xml:space="preserve">against women </w:t>
      </w:r>
      <w:r w:rsidR="00D37DF1" w:rsidRPr="00FF37F0">
        <w:rPr>
          <w:rFonts w:cstheme="minorHAnsi"/>
          <w:sz w:val="24"/>
          <w:szCs w:val="24"/>
        </w:rPr>
        <w:t>is exacerbated</w:t>
      </w:r>
      <w:r w:rsidR="009B1D5F" w:rsidRPr="00FF37F0">
        <w:rPr>
          <w:rFonts w:cstheme="minorHAnsi"/>
          <w:sz w:val="24"/>
          <w:szCs w:val="24"/>
        </w:rPr>
        <w:t xml:space="preserve"> by </w:t>
      </w:r>
      <w:r w:rsidR="00D37DF1" w:rsidRPr="00FF37F0">
        <w:rPr>
          <w:rFonts w:cstheme="minorHAnsi"/>
          <w:sz w:val="24"/>
          <w:szCs w:val="24"/>
        </w:rPr>
        <w:t>gender bias</w:t>
      </w:r>
      <w:r w:rsidR="009B1D5F" w:rsidRPr="00FF37F0">
        <w:rPr>
          <w:rFonts w:cstheme="minorHAnsi"/>
          <w:sz w:val="24"/>
          <w:szCs w:val="24"/>
        </w:rPr>
        <w:t>es</w:t>
      </w:r>
      <w:r w:rsidR="00D37DF1" w:rsidRPr="00FF37F0">
        <w:rPr>
          <w:rFonts w:cstheme="minorHAnsi"/>
          <w:sz w:val="24"/>
          <w:szCs w:val="24"/>
        </w:rPr>
        <w:t xml:space="preserve"> in the design of social security and social protection systems. The conditions for entitlement, the links between benefits and past earnings, elements of red</w:t>
      </w:r>
      <w:r w:rsidR="009B1D5F" w:rsidRPr="00FF37F0">
        <w:rPr>
          <w:rFonts w:cstheme="minorHAnsi"/>
          <w:sz w:val="24"/>
          <w:szCs w:val="24"/>
        </w:rPr>
        <w:t xml:space="preserve">istribution, </w:t>
      </w:r>
      <w:r w:rsidR="00D37DF1" w:rsidRPr="00FF37F0">
        <w:rPr>
          <w:rFonts w:cstheme="minorHAnsi"/>
          <w:sz w:val="24"/>
          <w:szCs w:val="24"/>
        </w:rPr>
        <w:t>the provision for widows and divorcees</w:t>
      </w:r>
      <w:r w:rsidR="009B1D5F" w:rsidRPr="00FF37F0">
        <w:rPr>
          <w:rFonts w:cstheme="minorHAnsi"/>
          <w:sz w:val="24"/>
          <w:szCs w:val="24"/>
        </w:rPr>
        <w:t xml:space="preserve">, </w:t>
      </w:r>
      <w:r w:rsidR="00D37DF1" w:rsidRPr="00FF37F0">
        <w:rPr>
          <w:rFonts w:cstheme="minorHAnsi"/>
          <w:sz w:val="24"/>
          <w:szCs w:val="24"/>
        </w:rPr>
        <w:t xml:space="preserve">indexation and retirement age all impact on gender inequality in older age. </w:t>
      </w:r>
      <w:r w:rsidR="009B1D5F" w:rsidRPr="00FF37F0">
        <w:rPr>
          <w:rFonts w:cstheme="minorHAnsi"/>
          <w:sz w:val="24"/>
          <w:szCs w:val="24"/>
        </w:rPr>
        <w:t>A</w:t>
      </w:r>
      <w:r w:rsidR="00D37DF1" w:rsidRPr="00FF37F0">
        <w:rPr>
          <w:rFonts w:cstheme="minorHAnsi"/>
          <w:sz w:val="24"/>
          <w:szCs w:val="24"/>
        </w:rPr>
        <w:t>s women live longer than men, they are also more exposed to poverty if pension benefits are not adequately indexed to take into account inflation and changes to the cost of living.</w:t>
      </w:r>
    </w:p>
    <w:p w14:paraId="7C083946" w14:textId="10693065" w:rsidR="009B1D5F" w:rsidRPr="00FF37F0" w:rsidRDefault="00D37DF1" w:rsidP="002702E9">
      <w:pPr>
        <w:pStyle w:val="ListParagraph"/>
        <w:numPr>
          <w:ilvl w:val="0"/>
          <w:numId w:val="30"/>
        </w:numPr>
        <w:spacing w:after="0" w:line="240" w:lineRule="auto"/>
        <w:rPr>
          <w:rFonts w:cstheme="minorHAnsi"/>
          <w:sz w:val="24"/>
          <w:szCs w:val="24"/>
        </w:rPr>
      </w:pPr>
      <w:r w:rsidRPr="00FF37F0">
        <w:rPr>
          <w:rFonts w:cstheme="minorHAnsi"/>
          <w:sz w:val="24"/>
          <w:szCs w:val="24"/>
        </w:rPr>
        <w:t xml:space="preserve">In some countries, </w:t>
      </w:r>
      <w:r w:rsidR="009B1D5F" w:rsidRPr="00FF37F0">
        <w:rPr>
          <w:rFonts w:cstheme="minorHAnsi"/>
          <w:sz w:val="24"/>
          <w:szCs w:val="24"/>
        </w:rPr>
        <w:t>penalties are imposed within social security and pensions systems on older persons who choose to work beyond normal retirement age.</w:t>
      </w:r>
      <w:r w:rsidR="009B1D5F" w:rsidRPr="00FF37F0">
        <w:rPr>
          <w:rStyle w:val="FootnoteReference"/>
          <w:rFonts w:cstheme="minorHAnsi"/>
          <w:sz w:val="24"/>
          <w:szCs w:val="24"/>
        </w:rPr>
        <w:footnoteReference w:id="14"/>
      </w:r>
      <w:r w:rsidR="009B1D5F" w:rsidRPr="00FF37F0">
        <w:rPr>
          <w:rFonts w:cstheme="minorHAnsi"/>
          <w:sz w:val="24"/>
          <w:szCs w:val="24"/>
        </w:rPr>
        <w:t xml:space="preserve"> For example, </w:t>
      </w:r>
      <w:r w:rsidRPr="00FF37F0">
        <w:rPr>
          <w:rFonts w:cstheme="minorHAnsi"/>
          <w:sz w:val="24"/>
          <w:szCs w:val="24"/>
        </w:rPr>
        <w:t>unemployment benefits are not available for older persons who are entitled to a pension</w:t>
      </w:r>
      <w:r w:rsidR="00360924" w:rsidRPr="00FF37F0">
        <w:rPr>
          <w:rFonts w:cstheme="minorHAnsi"/>
          <w:sz w:val="24"/>
          <w:szCs w:val="24"/>
        </w:rPr>
        <w:t xml:space="preserve"> and thereby discriminate against </w:t>
      </w:r>
      <w:r w:rsidR="009B1D5F" w:rsidRPr="00FF37F0">
        <w:rPr>
          <w:rFonts w:cstheme="minorHAnsi"/>
          <w:sz w:val="24"/>
          <w:szCs w:val="24"/>
        </w:rPr>
        <w:t>older workers</w:t>
      </w:r>
      <w:r w:rsidRPr="00FF37F0">
        <w:rPr>
          <w:rFonts w:cstheme="minorHAnsi"/>
          <w:sz w:val="24"/>
          <w:szCs w:val="24"/>
        </w:rPr>
        <w:t>.</w:t>
      </w:r>
      <w:r w:rsidRPr="00FF37F0">
        <w:rPr>
          <w:rStyle w:val="FootnoteReference"/>
          <w:rFonts w:cstheme="minorHAnsi"/>
          <w:sz w:val="24"/>
          <w:szCs w:val="24"/>
        </w:rPr>
        <w:footnoteReference w:id="15"/>
      </w:r>
      <w:r w:rsidRPr="00FF37F0">
        <w:rPr>
          <w:rFonts w:cstheme="minorHAnsi"/>
          <w:sz w:val="24"/>
          <w:szCs w:val="24"/>
        </w:rPr>
        <w:t xml:space="preserve">  </w:t>
      </w:r>
    </w:p>
    <w:p w14:paraId="19824B50" w14:textId="77777777" w:rsidR="006C3AF9" w:rsidRPr="00FF37F0" w:rsidRDefault="00D37DF1" w:rsidP="002702E9">
      <w:pPr>
        <w:pStyle w:val="ListParagraph"/>
        <w:numPr>
          <w:ilvl w:val="0"/>
          <w:numId w:val="30"/>
        </w:numPr>
        <w:spacing w:after="0" w:line="240" w:lineRule="auto"/>
        <w:rPr>
          <w:rFonts w:cstheme="minorHAnsi"/>
          <w:sz w:val="24"/>
          <w:szCs w:val="24"/>
        </w:rPr>
      </w:pPr>
      <w:r w:rsidRPr="00FF37F0">
        <w:rPr>
          <w:rFonts w:cstheme="minorHAnsi"/>
          <w:sz w:val="24"/>
          <w:szCs w:val="24"/>
        </w:rPr>
        <w:t>Older migrant workers whose pensions are not portable</w:t>
      </w:r>
      <w:r w:rsidR="009B1D5F" w:rsidRPr="00FF37F0">
        <w:rPr>
          <w:rFonts w:cstheme="minorHAnsi"/>
          <w:sz w:val="24"/>
          <w:szCs w:val="24"/>
        </w:rPr>
        <w:t xml:space="preserve"> are</w:t>
      </w:r>
      <w:r w:rsidRPr="00FF37F0">
        <w:rPr>
          <w:rFonts w:cstheme="minorHAnsi"/>
          <w:sz w:val="24"/>
          <w:szCs w:val="24"/>
        </w:rPr>
        <w:t xml:space="preserve"> penalized</w:t>
      </w:r>
      <w:r w:rsidR="009B1D5F" w:rsidRPr="00FF37F0">
        <w:rPr>
          <w:rFonts w:cstheme="minorHAnsi"/>
          <w:sz w:val="24"/>
          <w:szCs w:val="24"/>
        </w:rPr>
        <w:t>.</w:t>
      </w:r>
    </w:p>
    <w:p w14:paraId="1F1FC6AC" w14:textId="7AFF4426" w:rsidR="006C3AF9" w:rsidRPr="00FF37F0" w:rsidRDefault="009B1D5F" w:rsidP="002702E9">
      <w:pPr>
        <w:pStyle w:val="ListParagraph"/>
        <w:numPr>
          <w:ilvl w:val="0"/>
          <w:numId w:val="30"/>
        </w:numPr>
        <w:spacing w:after="0" w:line="240" w:lineRule="auto"/>
        <w:rPr>
          <w:rFonts w:cstheme="minorHAnsi"/>
          <w:sz w:val="24"/>
          <w:szCs w:val="24"/>
        </w:rPr>
      </w:pPr>
      <w:r w:rsidRPr="00FF37F0">
        <w:rPr>
          <w:rFonts w:cstheme="minorHAnsi"/>
          <w:sz w:val="24"/>
          <w:szCs w:val="24"/>
        </w:rPr>
        <w:t>Age limits and other age-related barriers are routinely applied by States parties in legal entitlements to disability benefits and services and impede older persons with disabilities from living independently in the community on an equal basis with others.</w:t>
      </w:r>
      <w:r w:rsidRPr="00FF37F0">
        <w:rPr>
          <w:rStyle w:val="FootnoteReference"/>
          <w:rFonts w:cstheme="minorHAnsi"/>
          <w:sz w:val="24"/>
          <w:szCs w:val="24"/>
        </w:rPr>
        <w:footnoteReference w:id="16"/>
      </w:r>
      <w:r w:rsidRPr="00FF37F0">
        <w:rPr>
          <w:rStyle w:val="FootnoteReference"/>
          <w:rFonts w:cstheme="minorHAnsi"/>
          <w:sz w:val="24"/>
          <w:szCs w:val="24"/>
        </w:rPr>
        <w:t xml:space="preserve"> </w:t>
      </w:r>
      <w:r w:rsidRPr="00FF37F0">
        <w:rPr>
          <w:rStyle w:val="FootnoteReference"/>
          <w:rFonts w:cstheme="minorHAnsi"/>
          <w:sz w:val="24"/>
          <w:szCs w:val="24"/>
        </w:rPr>
        <w:footnoteReference w:id="17"/>
      </w:r>
      <w:r w:rsidRPr="00FF37F0">
        <w:rPr>
          <w:rFonts w:cstheme="minorHAnsi"/>
          <w:sz w:val="24"/>
          <w:szCs w:val="24"/>
        </w:rPr>
        <w:t xml:space="preserve"> </w:t>
      </w:r>
      <w:r w:rsidRPr="00FF37F0">
        <w:rPr>
          <w:rStyle w:val="FootnoteReference"/>
          <w:rFonts w:cstheme="minorHAnsi"/>
          <w:sz w:val="24"/>
          <w:szCs w:val="24"/>
        </w:rPr>
        <w:footnoteReference w:id="18"/>
      </w:r>
      <w:r w:rsidRPr="00FF37F0">
        <w:rPr>
          <w:rFonts w:cstheme="minorHAnsi"/>
          <w:sz w:val="24"/>
          <w:szCs w:val="24"/>
        </w:rPr>
        <w:t xml:space="preserve"> </w:t>
      </w:r>
      <w:r w:rsidRPr="00FF37F0">
        <w:rPr>
          <w:rStyle w:val="FootnoteReference"/>
          <w:rFonts w:cstheme="minorHAnsi"/>
          <w:sz w:val="24"/>
          <w:szCs w:val="24"/>
        </w:rPr>
        <w:footnoteReference w:id="19"/>
      </w:r>
    </w:p>
    <w:p w14:paraId="486206E1" w14:textId="3052AA27" w:rsidR="006C3AF9" w:rsidRPr="00FF37F0" w:rsidRDefault="009B1D5F" w:rsidP="002702E9">
      <w:pPr>
        <w:pStyle w:val="ListParagraph"/>
        <w:numPr>
          <w:ilvl w:val="0"/>
          <w:numId w:val="30"/>
        </w:numPr>
        <w:spacing w:after="0" w:line="240" w:lineRule="auto"/>
        <w:rPr>
          <w:rFonts w:cstheme="minorHAnsi"/>
          <w:sz w:val="24"/>
          <w:szCs w:val="24"/>
        </w:rPr>
      </w:pPr>
      <w:r w:rsidRPr="00FF37F0">
        <w:rPr>
          <w:rFonts w:cstheme="minorHAnsi"/>
          <w:sz w:val="24"/>
          <w:szCs w:val="24"/>
        </w:rPr>
        <w:t xml:space="preserve">Age limits may be applied to benefits designed to make health care </w:t>
      </w:r>
      <w:r w:rsidR="00D41D8B">
        <w:rPr>
          <w:rFonts w:cstheme="minorHAnsi"/>
          <w:sz w:val="24"/>
          <w:szCs w:val="24"/>
        </w:rPr>
        <w:t>or disability insurance</w:t>
      </w:r>
      <w:r w:rsidR="00D41D8B">
        <w:rPr>
          <w:rStyle w:val="FootnoteReference"/>
          <w:rFonts w:cstheme="minorHAnsi"/>
          <w:sz w:val="24"/>
          <w:szCs w:val="24"/>
        </w:rPr>
        <w:footnoteReference w:id="20"/>
      </w:r>
      <w:r w:rsidR="00D41D8B">
        <w:rPr>
          <w:rFonts w:cstheme="minorHAnsi"/>
          <w:sz w:val="24"/>
          <w:szCs w:val="24"/>
        </w:rPr>
        <w:t xml:space="preserve"> accessible and </w:t>
      </w:r>
      <w:r w:rsidRPr="00FF37F0">
        <w:rPr>
          <w:rFonts w:cstheme="minorHAnsi"/>
          <w:sz w:val="24"/>
          <w:szCs w:val="24"/>
        </w:rPr>
        <w:t>affordable.</w:t>
      </w:r>
      <w:r w:rsidRPr="00FF37F0">
        <w:rPr>
          <w:rStyle w:val="FootnoteReference"/>
          <w:rFonts w:cstheme="minorHAnsi"/>
          <w:sz w:val="24"/>
          <w:szCs w:val="24"/>
        </w:rPr>
        <w:footnoteReference w:id="21"/>
      </w:r>
      <w:r w:rsidRPr="00FF37F0">
        <w:rPr>
          <w:rFonts w:cstheme="minorHAnsi"/>
          <w:sz w:val="24"/>
          <w:szCs w:val="24"/>
        </w:rPr>
        <w:t xml:space="preserve"> </w:t>
      </w:r>
    </w:p>
    <w:p w14:paraId="1C5C7FD7" w14:textId="77777777" w:rsidR="006C3AF9" w:rsidRPr="00FF37F0" w:rsidRDefault="009B1D5F" w:rsidP="002702E9">
      <w:pPr>
        <w:pStyle w:val="ListParagraph"/>
        <w:numPr>
          <w:ilvl w:val="0"/>
          <w:numId w:val="30"/>
        </w:numPr>
        <w:spacing w:after="0" w:line="240" w:lineRule="auto"/>
        <w:rPr>
          <w:rFonts w:cstheme="minorHAnsi"/>
          <w:sz w:val="24"/>
          <w:szCs w:val="24"/>
        </w:rPr>
      </w:pPr>
      <w:r w:rsidRPr="00FF37F0">
        <w:rPr>
          <w:rFonts w:cstheme="minorHAnsi"/>
          <w:sz w:val="24"/>
          <w:szCs w:val="24"/>
        </w:rPr>
        <w:t xml:space="preserve">Older persons who are homeless or without identity document may be excluded from universal schemes. </w:t>
      </w:r>
    </w:p>
    <w:p w14:paraId="0EFD0626" w14:textId="77777777" w:rsidR="006C3AF9" w:rsidRPr="00FF37F0" w:rsidRDefault="00360924" w:rsidP="002702E9">
      <w:pPr>
        <w:pStyle w:val="ListParagraph"/>
        <w:numPr>
          <w:ilvl w:val="0"/>
          <w:numId w:val="30"/>
        </w:numPr>
        <w:spacing w:after="0" w:line="240" w:lineRule="auto"/>
        <w:rPr>
          <w:rFonts w:cstheme="minorHAnsi"/>
          <w:sz w:val="24"/>
          <w:szCs w:val="24"/>
        </w:rPr>
      </w:pPr>
      <w:r w:rsidRPr="00FF37F0">
        <w:rPr>
          <w:rFonts w:cstheme="minorHAnsi"/>
          <w:sz w:val="24"/>
          <w:szCs w:val="24"/>
        </w:rPr>
        <w:t xml:space="preserve">Pension schemes may not take into account disparities in life expectancy, and therefore discriminate against those with lower life expectancies.  For example, the pension age in Australia is set at between 65 and 67 years of age (depending on year of birth) and life expectancy for indigenous Australians is </w:t>
      </w:r>
      <w:r w:rsidRPr="00FF37F0">
        <w:rPr>
          <w:rFonts w:eastAsia="Times New Roman" w:cstheme="minorHAnsi"/>
          <w:sz w:val="24"/>
          <w:szCs w:val="24"/>
          <w:lang w:val="en-AU"/>
        </w:rPr>
        <w:t>10.6 years lower than that of the non-Indigenous population for males (69.1 years compared with 79.7) and 9.5 years for females (73.7 compared with 83.1).</w:t>
      </w:r>
      <w:r w:rsidRPr="00FF37F0">
        <w:rPr>
          <w:rStyle w:val="FootnoteReference"/>
          <w:rFonts w:eastAsia="Times New Roman" w:cstheme="minorHAnsi"/>
          <w:sz w:val="24"/>
          <w:szCs w:val="24"/>
          <w:lang w:val="en-AU"/>
        </w:rPr>
        <w:footnoteReference w:id="22"/>
      </w:r>
      <w:r w:rsidRPr="00FF37F0">
        <w:rPr>
          <w:rFonts w:eastAsia="Times New Roman" w:cstheme="minorHAnsi"/>
          <w:sz w:val="24"/>
          <w:szCs w:val="24"/>
          <w:lang w:val="en-AU"/>
        </w:rPr>
        <w:t xml:space="preserve"> </w:t>
      </w:r>
    </w:p>
    <w:p w14:paraId="42A386B5" w14:textId="77777777" w:rsidR="006C3AF9" w:rsidRPr="00FF37F0" w:rsidRDefault="00360924" w:rsidP="002702E9">
      <w:pPr>
        <w:pStyle w:val="ListParagraph"/>
        <w:numPr>
          <w:ilvl w:val="0"/>
          <w:numId w:val="30"/>
        </w:numPr>
        <w:spacing w:after="0" w:line="240" w:lineRule="auto"/>
        <w:rPr>
          <w:rFonts w:cstheme="minorHAnsi"/>
          <w:sz w:val="24"/>
          <w:szCs w:val="24"/>
        </w:rPr>
      </w:pPr>
      <w:r w:rsidRPr="00FF37F0">
        <w:rPr>
          <w:rFonts w:cstheme="minorHAnsi"/>
          <w:sz w:val="24"/>
          <w:szCs w:val="24"/>
        </w:rPr>
        <w:t>As technologies develop, unequal access to new technologies for care and support for independent living will become an important source of inequality in older age.</w:t>
      </w:r>
      <w:r w:rsidRPr="00FF37F0">
        <w:rPr>
          <w:rStyle w:val="FootnoteReference"/>
          <w:rFonts w:cstheme="minorHAnsi"/>
          <w:sz w:val="24"/>
          <w:szCs w:val="24"/>
        </w:rPr>
        <w:footnoteReference w:id="23"/>
      </w:r>
    </w:p>
    <w:p w14:paraId="05306A8C" w14:textId="0B367141" w:rsidR="00360924" w:rsidRPr="00FF37F0" w:rsidRDefault="00360924" w:rsidP="002702E9">
      <w:pPr>
        <w:pStyle w:val="ListParagraph"/>
        <w:numPr>
          <w:ilvl w:val="0"/>
          <w:numId w:val="30"/>
        </w:numPr>
        <w:spacing w:after="0" w:line="240" w:lineRule="auto"/>
        <w:rPr>
          <w:rFonts w:cstheme="minorHAnsi"/>
          <w:sz w:val="24"/>
          <w:szCs w:val="24"/>
        </w:rPr>
      </w:pPr>
      <w:r w:rsidRPr="00FF37F0">
        <w:rPr>
          <w:rFonts w:cstheme="minorHAnsi"/>
          <w:sz w:val="24"/>
          <w:szCs w:val="24"/>
        </w:rPr>
        <w:t xml:space="preserve">Older people may be excluded from insurance coverage due to upper age restrictions or prohibitively high payments based on older age for health insurance. This discrimination on the basis of age is currently lawful in many countries despite the resulting disadvantages for older people in terms of their access to these forms of social protection. </w:t>
      </w:r>
    </w:p>
    <w:p w14:paraId="3F9D259F" w14:textId="77777777" w:rsidR="00CC0795" w:rsidRDefault="00CC0795" w:rsidP="002702E9">
      <w:pPr>
        <w:spacing w:after="0" w:line="240" w:lineRule="auto"/>
        <w:rPr>
          <w:rFonts w:cstheme="minorHAnsi"/>
          <w:b/>
          <w:sz w:val="24"/>
          <w:szCs w:val="24"/>
        </w:rPr>
      </w:pPr>
    </w:p>
    <w:p w14:paraId="5CEB4C69" w14:textId="63333C4C" w:rsidR="00D37DF1" w:rsidRPr="00FF37F0" w:rsidRDefault="00D37DF1" w:rsidP="002702E9">
      <w:pPr>
        <w:spacing w:after="0" w:line="240" w:lineRule="auto"/>
        <w:rPr>
          <w:rFonts w:cstheme="minorHAnsi"/>
          <w:b/>
          <w:sz w:val="24"/>
          <w:szCs w:val="24"/>
        </w:rPr>
      </w:pPr>
      <w:r w:rsidRPr="00FF37F0">
        <w:rPr>
          <w:rFonts w:cstheme="minorHAnsi"/>
          <w:b/>
          <w:sz w:val="24"/>
          <w:szCs w:val="24"/>
        </w:rPr>
        <w:t>Guiding Question 8: Accountability mechanisms</w:t>
      </w:r>
    </w:p>
    <w:p w14:paraId="6645B06A" w14:textId="5B6B8E5F" w:rsidR="00D37DF1" w:rsidRDefault="00D37DF1" w:rsidP="00F97D48">
      <w:pPr>
        <w:pStyle w:val="ListParagraph"/>
        <w:numPr>
          <w:ilvl w:val="0"/>
          <w:numId w:val="30"/>
        </w:numPr>
        <w:spacing w:after="0" w:line="240" w:lineRule="auto"/>
        <w:rPr>
          <w:rFonts w:cstheme="minorHAnsi"/>
          <w:sz w:val="24"/>
          <w:szCs w:val="24"/>
        </w:rPr>
      </w:pPr>
      <w:r w:rsidRPr="00FF37F0">
        <w:rPr>
          <w:rFonts w:cstheme="minorHAnsi"/>
          <w:sz w:val="24"/>
          <w:szCs w:val="24"/>
        </w:rPr>
        <w:t xml:space="preserve">Even where complaint mechanisms exist, older people may not have information about, or feel comfortable using, complaints procedures. </w:t>
      </w:r>
      <w:r w:rsidR="006C3AF9" w:rsidRPr="00FF37F0">
        <w:rPr>
          <w:rFonts w:cstheme="minorHAnsi"/>
          <w:sz w:val="24"/>
          <w:szCs w:val="24"/>
        </w:rPr>
        <w:t>For example, i</w:t>
      </w:r>
      <w:r w:rsidRPr="00FF37F0">
        <w:rPr>
          <w:rFonts w:cstheme="minorHAnsi"/>
          <w:sz w:val="24"/>
          <w:szCs w:val="24"/>
        </w:rPr>
        <w:t>n a study in Mozambique, 68 per cent of older people surveyed said they did not know who to make a complaint to about their benefit from the Basic Social Subsidy Programme.</w:t>
      </w:r>
      <w:r w:rsidRPr="00FF37F0">
        <w:rPr>
          <w:rStyle w:val="FootnoteReference"/>
          <w:rFonts w:cstheme="minorHAnsi"/>
          <w:sz w:val="24"/>
          <w:szCs w:val="24"/>
        </w:rPr>
        <w:footnoteReference w:id="24"/>
      </w:r>
      <w:r w:rsidRPr="00FF37F0">
        <w:rPr>
          <w:rFonts w:cstheme="minorHAnsi"/>
          <w:sz w:val="24"/>
          <w:szCs w:val="24"/>
        </w:rPr>
        <w:t xml:space="preserve"> </w:t>
      </w:r>
    </w:p>
    <w:p w14:paraId="4841BAF6" w14:textId="3BB8BC39" w:rsidR="00F97D48" w:rsidRPr="00FF37F0" w:rsidRDefault="00F97D48" w:rsidP="00DF34E4">
      <w:pPr>
        <w:pStyle w:val="ListParagraph"/>
        <w:numPr>
          <w:ilvl w:val="0"/>
          <w:numId w:val="30"/>
        </w:numPr>
        <w:tabs>
          <w:tab w:val="left" w:pos="8460"/>
        </w:tabs>
        <w:spacing w:after="0" w:line="240" w:lineRule="auto"/>
        <w:rPr>
          <w:rFonts w:cstheme="minorHAnsi"/>
          <w:sz w:val="24"/>
          <w:szCs w:val="24"/>
        </w:rPr>
      </w:pPr>
      <w:r>
        <w:rPr>
          <w:rFonts w:cstheme="minorHAnsi"/>
          <w:sz w:val="24"/>
          <w:szCs w:val="24"/>
        </w:rPr>
        <w:t xml:space="preserve">Old age pensions and other social protection instruments based on contributory systems are prone </w:t>
      </w:r>
      <w:r w:rsidR="00DF34E4">
        <w:rPr>
          <w:rFonts w:cstheme="minorHAnsi"/>
          <w:sz w:val="24"/>
          <w:szCs w:val="24"/>
        </w:rPr>
        <w:t xml:space="preserve">to </w:t>
      </w:r>
      <w:r>
        <w:rPr>
          <w:rFonts w:cstheme="minorHAnsi"/>
          <w:sz w:val="24"/>
          <w:szCs w:val="24"/>
        </w:rPr>
        <w:t xml:space="preserve">lack </w:t>
      </w:r>
      <w:r>
        <w:rPr>
          <w:rFonts w:cstheme="minorHAnsi"/>
          <w:sz w:val="24"/>
          <w:szCs w:val="24"/>
          <w:lang w:val="en-US" w:bidi="he-IL"/>
        </w:rPr>
        <w:t>long-term safeguards regarding sustainability. All information regarding the various aspects of the actual contributions and their management should be transparent and available, along with mechanisms to ensure the financial soundness of the system for the full life expectancy of the insured population.</w:t>
      </w:r>
      <w:r>
        <w:rPr>
          <w:rFonts w:cstheme="minorHAnsi"/>
          <w:sz w:val="24"/>
          <w:szCs w:val="24"/>
        </w:rPr>
        <w:t xml:space="preserve"> </w:t>
      </w:r>
    </w:p>
    <w:p w14:paraId="2E159810" w14:textId="77777777" w:rsidR="006C3AF9" w:rsidRPr="00FF37F0" w:rsidRDefault="006C3AF9" w:rsidP="002702E9">
      <w:pPr>
        <w:spacing w:after="0" w:line="240" w:lineRule="auto"/>
        <w:rPr>
          <w:rFonts w:cstheme="minorHAnsi"/>
          <w:b/>
          <w:sz w:val="24"/>
          <w:szCs w:val="24"/>
        </w:rPr>
      </w:pPr>
    </w:p>
    <w:p w14:paraId="611B41DD" w14:textId="28A070D6" w:rsidR="006C3AF9" w:rsidRPr="00FF37F0" w:rsidRDefault="00D37DF1" w:rsidP="002702E9">
      <w:pPr>
        <w:spacing w:after="0" w:line="240" w:lineRule="auto"/>
        <w:rPr>
          <w:rFonts w:cstheme="minorHAnsi"/>
          <w:sz w:val="24"/>
          <w:szCs w:val="24"/>
        </w:rPr>
      </w:pPr>
      <w:r w:rsidRPr="00FF37F0">
        <w:rPr>
          <w:rFonts w:cstheme="minorHAnsi"/>
          <w:b/>
          <w:sz w:val="24"/>
          <w:szCs w:val="24"/>
        </w:rPr>
        <w:t>Guiding Question 9: Judicial and non-judicial mechanisms</w:t>
      </w:r>
    </w:p>
    <w:p w14:paraId="3777DB5B" w14:textId="55F63218" w:rsidR="00E41A88" w:rsidRPr="00FF37F0" w:rsidRDefault="00D37DF1" w:rsidP="00DD3478">
      <w:pPr>
        <w:spacing w:after="0" w:line="240" w:lineRule="auto"/>
        <w:rPr>
          <w:rFonts w:cstheme="minorHAnsi"/>
          <w:sz w:val="24"/>
          <w:szCs w:val="24"/>
        </w:rPr>
      </w:pPr>
      <w:r w:rsidRPr="00FF37F0">
        <w:rPr>
          <w:rFonts w:cstheme="minorHAnsi"/>
          <w:sz w:val="24"/>
          <w:szCs w:val="24"/>
        </w:rPr>
        <w:t>Older persons face particular barriers to seeking information on their legal rights and accessing legal proceedings. A recent report in Australia found that a significant number of older persons had low awareness of their rights, found it difficult to identify a legal problem and undertook minimal information-seeking. Difficulties accessing free legal assistance and legal aid, being subject to guardianship or experiencing financial abuse prevented older people from taking legal action.</w:t>
      </w:r>
      <w:r w:rsidRPr="00FF37F0">
        <w:rPr>
          <w:rStyle w:val="FootnoteReference"/>
          <w:rFonts w:cstheme="minorHAnsi"/>
          <w:sz w:val="24"/>
          <w:szCs w:val="24"/>
        </w:rPr>
        <w:footnoteReference w:id="25"/>
      </w:r>
      <w:r w:rsidR="00A176F5">
        <w:rPr>
          <w:rFonts w:cstheme="minorHAnsi"/>
          <w:sz w:val="24"/>
          <w:szCs w:val="24"/>
        </w:rPr>
        <w:t xml:space="preserve"> </w:t>
      </w:r>
    </w:p>
    <w:p w14:paraId="2AADBE53" w14:textId="77777777" w:rsidR="00DD3478" w:rsidRPr="00FF37F0" w:rsidRDefault="00DD3478">
      <w:pPr>
        <w:spacing w:after="0" w:line="240" w:lineRule="auto"/>
        <w:rPr>
          <w:rFonts w:cstheme="minorHAnsi"/>
          <w:sz w:val="24"/>
          <w:szCs w:val="24"/>
        </w:rPr>
      </w:pPr>
    </w:p>
    <w:sectPr w:rsidR="00DD3478" w:rsidRPr="00FF37F0" w:rsidSect="002702E9">
      <w:headerReference w:type="even" r:id="rId8"/>
      <w:headerReference w:type="default" r:id="rId9"/>
      <w:footerReference w:type="even" r:id="rId10"/>
      <w:footerReference w:type="default" r:id="rId11"/>
      <w:headerReference w:type="first" r:id="rId12"/>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9C85D9" w14:textId="77777777" w:rsidR="00B64C07" w:rsidRDefault="00B64C07" w:rsidP="008B7908">
      <w:pPr>
        <w:spacing w:after="0" w:line="240" w:lineRule="auto"/>
      </w:pPr>
      <w:r>
        <w:separator/>
      </w:r>
    </w:p>
  </w:endnote>
  <w:endnote w:type="continuationSeparator" w:id="0">
    <w:p w14:paraId="7FE19D2F" w14:textId="77777777" w:rsidR="00B64C07" w:rsidRDefault="00B64C07" w:rsidP="008B7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AE8BA" w14:textId="77777777" w:rsidR="00106978" w:rsidRDefault="00106978" w:rsidP="00F965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7D26EC" w14:textId="77777777" w:rsidR="00106978" w:rsidRDefault="00106978" w:rsidP="001069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9169" w14:textId="092D2A41" w:rsidR="00106978" w:rsidRPr="00106978" w:rsidRDefault="00106978" w:rsidP="00F965B4">
    <w:pPr>
      <w:pStyle w:val="Footer"/>
      <w:framePr w:wrap="around" w:vAnchor="text" w:hAnchor="margin" w:xAlign="right" w:y="1"/>
      <w:rPr>
        <w:rStyle w:val="PageNumber"/>
        <w:rFonts w:ascii="Times New Roman" w:hAnsi="Times New Roman" w:cs="Times New Roman"/>
        <w:sz w:val="20"/>
        <w:szCs w:val="20"/>
      </w:rPr>
    </w:pPr>
    <w:r w:rsidRPr="00106978">
      <w:rPr>
        <w:rStyle w:val="PageNumber"/>
        <w:rFonts w:ascii="Times New Roman" w:hAnsi="Times New Roman" w:cs="Times New Roman"/>
        <w:sz w:val="20"/>
        <w:szCs w:val="20"/>
      </w:rPr>
      <w:fldChar w:fldCharType="begin"/>
    </w:r>
    <w:r w:rsidRPr="00106978">
      <w:rPr>
        <w:rStyle w:val="PageNumber"/>
        <w:rFonts w:ascii="Times New Roman" w:hAnsi="Times New Roman" w:cs="Times New Roman"/>
        <w:sz w:val="20"/>
        <w:szCs w:val="20"/>
      </w:rPr>
      <w:instrText xml:space="preserve">PAGE  </w:instrText>
    </w:r>
    <w:r w:rsidRPr="00106978">
      <w:rPr>
        <w:rStyle w:val="PageNumber"/>
        <w:rFonts w:ascii="Times New Roman" w:hAnsi="Times New Roman" w:cs="Times New Roman"/>
        <w:sz w:val="20"/>
        <w:szCs w:val="20"/>
      </w:rPr>
      <w:fldChar w:fldCharType="separate"/>
    </w:r>
    <w:r w:rsidR="00DD34FE">
      <w:rPr>
        <w:rStyle w:val="PageNumber"/>
        <w:rFonts w:ascii="Times New Roman" w:hAnsi="Times New Roman" w:cs="Times New Roman"/>
        <w:noProof/>
        <w:sz w:val="20"/>
        <w:szCs w:val="20"/>
      </w:rPr>
      <w:t>2</w:t>
    </w:r>
    <w:r w:rsidRPr="00106978">
      <w:rPr>
        <w:rStyle w:val="PageNumber"/>
        <w:rFonts w:ascii="Times New Roman" w:hAnsi="Times New Roman" w:cs="Times New Roman"/>
        <w:sz w:val="20"/>
        <w:szCs w:val="20"/>
      </w:rPr>
      <w:fldChar w:fldCharType="end"/>
    </w:r>
  </w:p>
  <w:p w14:paraId="09A13464" w14:textId="77777777" w:rsidR="00106978" w:rsidRDefault="00106978" w:rsidP="001069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BFA3C" w14:textId="77777777" w:rsidR="00B64C07" w:rsidRDefault="00B64C07" w:rsidP="008B7908">
      <w:pPr>
        <w:spacing w:after="0" w:line="240" w:lineRule="auto"/>
      </w:pPr>
      <w:r>
        <w:separator/>
      </w:r>
    </w:p>
  </w:footnote>
  <w:footnote w:type="continuationSeparator" w:id="0">
    <w:p w14:paraId="3C9A8E29" w14:textId="77777777" w:rsidR="00B64C07" w:rsidRDefault="00B64C07" w:rsidP="008B7908">
      <w:pPr>
        <w:spacing w:after="0" w:line="240" w:lineRule="auto"/>
      </w:pPr>
      <w:r>
        <w:continuationSeparator/>
      </w:r>
    </w:p>
  </w:footnote>
  <w:footnote w:id="1">
    <w:p w14:paraId="3D7DEECD" w14:textId="5F4DFD57" w:rsidR="00D20CE0" w:rsidRPr="007B27F5" w:rsidRDefault="00D20CE0" w:rsidP="006C3AF9">
      <w:pPr>
        <w:pStyle w:val="FootnoteText"/>
        <w:rPr>
          <w:rFonts w:cstheme="minorHAnsi"/>
          <w:sz w:val="18"/>
          <w:szCs w:val="18"/>
          <w:lang w:val="en-US"/>
        </w:rPr>
      </w:pPr>
      <w:r w:rsidRPr="007B27F5">
        <w:rPr>
          <w:rStyle w:val="FootnoteReference"/>
          <w:rFonts w:cstheme="minorHAnsi"/>
          <w:sz w:val="18"/>
          <w:szCs w:val="18"/>
        </w:rPr>
        <w:t>*</w:t>
      </w:r>
      <w:r w:rsidRPr="007B27F5">
        <w:rPr>
          <w:rFonts w:cstheme="minorHAnsi"/>
          <w:sz w:val="18"/>
          <w:szCs w:val="18"/>
        </w:rPr>
        <w:t xml:space="preserve"> For further information contact Bridget Sleap </w:t>
      </w:r>
      <w:hyperlink r:id="rId1" w:history="1">
        <w:r w:rsidRPr="007B27F5">
          <w:rPr>
            <w:rStyle w:val="Hyperlink"/>
            <w:rFonts w:cstheme="minorHAnsi"/>
            <w:sz w:val="18"/>
            <w:szCs w:val="18"/>
          </w:rPr>
          <w:t>bsleap@helpage.org</w:t>
        </w:r>
      </w:hyperlink>
    </w:p>
  </w:footnote>
  <w:footnote w:id="2">
    <w:p w14:paraId="7CA0116F" w14:textId="5EC2AD9B" w:rsidR="007B27F5" w:rsidRPr="007B27F5" w:rsidRDefault="007B27F5">
      <w:pPr>
        <w:pStyle w:val="FootnoteText"/>
        <w:rPr>
          <w:sz w:val="18"/>
          <w:szCs w:val="18"/>
          <w:lang w:val="en-US"/>
        </w:rPr>
      </w:pPr>
      <w:r w:rsidRPr="007B27F5">
        <w:rPr>
          <w:rStyle w:val="FootnoteReference"/>
          <w:sz w:val="18"/>
          <w:szCs w:val="18"/>
        </w:rPr>
        <w:footnoteRef/>
      </w:r>
      <w:r w:rsidRPr="007B27F5">
        <w:rPr>
          <w:sz w:val="18"/>
          <w:szCs w:val="18"/>
        </w:rPr>
        <w:t xml:space="preserve"> For example, the Universal Declaration of Human Rights</w:t>
      </w:r>
      <w:r>
        <w:rPr>
          <w:sz w:val="18"/>
          <w:szCs w:val="18"/>
        </w:rPr>
        <w:t xml:space="preserve"> Article 22, the International C</w:t>
      </w:r>
      <w:r w:rsidRPr="007B27F5">
        <w:rPr>
          <w:sz w:val="18"/>
          <w:szCs w:val="18"/>
        </w:rPr>
        <w:t>ovenant on Economic, Social and Cultural Rights Article 9, the Convention on the Elimination of All Forms of Discrimination Against Women Article 11 and Convention on the Rights of Persons with Disabilities Article 28</w:t>
      </w:r>
    </w:p>
  </w:footnote>
  <w:footnote w:id="3">
    <w:p w14:paraId="09FB7CB9" w14:textId="77777777" w:rsidR="00D37DF1" w:rsidRPr="006C3AF9" w:rsidRDefault="00D37DF1" w:rsidP="006C3AF9">
      <w:pPr>
        <w:spacing w:after="0"/>
        <w:rPr>
          <w:rFonts w:cstheme="minorHAnsi"/>
          <w:sz w:val="18"/>
          <w:szCs w:val="18"/>
        </w:rPr>
      </w:pPr>
      <w:r w:rsidRPr="006C3AF9">
        <w:rPr>
          <w:rStyle w:val="FootnoteReference"/>
          <w:rFonts w:cstheme="minorHAnsi"/>
          <w:sz w:val="18"/>
          <w:szCs w:val="18"/>
        </w:rPr>
        <w:footnoteRef/>
      </w:r>
      <w:r w:rsidRPr="006C3AF9">
        <w:rPr>
          <w:rFonts w:cstheme="minorHAnsi"/>
          <w:sz w:val="18"/>
          <w:szCs w:val="18"/>
        </w:rPr>
        <w:t xml:space="preserve"> World Social Protection Report 2017–19: Universal social protection to achieve the Sustainable Development Goals International Labour Office – Geneva: ILO, 2017, page 78</w:t>
      </w:r>
    </w:p>
  </w:footnote>
  <w:footnote w:id="4">
    <w:p w14:paraId="0FEC7EFB" w14:textId="06AB7D0D" w:rsidR="00D37DF1" w:rsidRPr="00A9217C" w:rsidRDefault="00D37DF1" w:rsidP="006C3AF9">
      <w:pPr>
        <w:pStyle w:val="FootnoteText"/>
        <w:rPr>
          <w:rFonts w:cstheme="minorHAnsi"/>
          <w:sz w:val="18"/>
          <w:szCs w:val="18"/>
        </w:rPr>
      </w:pPr>
      <w:r w:rsidRPr="006C3AF9">
        <w:rPr>
          <w:rStyle w:val="FootnoteReference"/>
          <w:rFonts w:cstheme="minorHAnsi"/>
          <w:sz w:val="18"/>
          <w:szCs w:val="18"/>
        </w:rPr>
        <w:footnoteRef/>
      </w:r>
      <w:r w:rsidR="002503F0">
        <w:rPr>
          <w:rFonts w:cstheme="minorHAnsi"/>
          <w:sz w:val="18"/>
          <w:szCs w:val="18"/>
        </w:rPr>
        <w:t xml:space="preserve"> </w:t>
      </w:r>
      <w:r w:rsidRPr="006C3AF9">
        <w:rPr>
          <w:rFonts w:cstheme="minorHAnsi"/>
          <w:sz w:val="18"/>
          <w:szCs w:val="18"/>
        </w:rPr>
        <w:t>World Social Protection Report 2017–19: Universal social protection to achieve the Sustainable Development Goals International Labour Office – Geneva: ILO, 2017, page 79</w:t>
      </w:r>
    </w:p>
  </w:footnote>
  <w:footnote w:id="5">
    <w:p w14:paraId="7049281A" w14:textId="1CA9D407" w:rsidR="00D37DF1" w:rsidRPr="00907E5B" w:rsidRDefault="00D37DF1" w:rsidP="006C3AF9">
      <w:pPr>
        <w:pStyle w:val="FootnoteText"/>
        <w:rPr>
          <w:sz w:val="18"/>
          <w:szCs w:val="18"/>
        </w:rPr>
      </w:pPr>
      <w:r w:rsidRPr="00907E5B">
        <w:rPr>
          <w:rStyle w:val="FootnoteReference"/>
          <w:sz w:val="18"/>
          <w:szCs w:val="18"/>
        </w:rPr>
        <w:footnoteRef/>
      </w:r>
      <w:r w:rsidR="006C3AF9" w:rsidRPr="00907E5B">
        <w:rPr>
          <w:sz w:val="18"/>
          <w:szCs w:val="18"/>
        </w:rPr>
        <w:t xml:space="preserve"> </w:t>
      </w:r>
      <w:r w:rsidRPr="00907E5B">
        <w:rPr>
          <w:sz w:val="18"/>
          <w:szCs w:val="18"/>
        </w:rPr>
        <w:t xml:space="preserve">WHO, </w:t>
      </w:r>
      <w:r w:rsidRPr="00907E5B">
        <w:rPr>
          <w:i/>
          <w:sz w:val="18"/>
          <w:szCs w:val="18"/>
        </w:rPr>
        <w:t>World Report on Ageing and Health</w:t>
      </w:r>
      <w:r w:rsidRPr="00907E5B">
        <w:rPr>
          <w:sz w:val="18"/>
          <w:szCs w:val="18"/>
        </w:rPr>
        <w:t>, 2015, p.91</w:t>
      </w:r>
    </w:p>
  </w:footnote>
  <w:footnote w:id="6">
    <w:p w14:paraId="419455F8" w14:textId="60536E38" w:rsidR="00D37DF1" w:rsidRPr="00907E5B" w:rsidRDefault="00D37DF1" w:rsidP="006C3AF9">
      <w:pPr>
        <w:pStyle w:val="FootnoteText"/>
        <w:rPr>
          <w:sz w:val="18"/>
          <w:szCs w:val="18"/>
        </w:rPr>
      </w:pPr>
      <w:r w:rsidRPr="00907E5B">
        <w:rPr>
          <w:rStyle w:val="FootnoteReference"/>
          <w:sz w:val="18"/>
          <w:szCs w:val="18"/>
        </w:rPr>
        <w:footnoteRef/>
      </w:r>
      <w:r w:rsidR="006C3AF9" w:rsidRPr="00907E5B">
        <w:rPr>
          <w:sz w:val="18"/>
          <w:szCs w:val="18"/>
        </w:rPr>
        <w:t xml:space="preserve"> </w:t>
      </w:r>
      <w:r w:rsidRPr="00907E5B">
        <w:rPr>
          <w:sz w:val="18"/>
          <w:szCs w:val="18"/>
        </w:rPr>
        <w:t xml:space="preserve">WHO, </w:t>
      </w:r>
      <w:r w:rsidRPr="00907E5B">
        <w:rPr>
          <w:i/>
          <w:sz w:val="18"/>
          <w:szCs w:val="18"/>
        </w:rPr>
        <w:t>World Report on Ageing and Health</w:t>
      </w:r>
      <w:r w:rsidRPr="00907E5B">
        <w:rPr>
          <w:sz w:val="18"/>
          <w:szCs w:val="18"/>
        </w:rPr>
        <w:t>, 2015, p.92</w:t>
      </w:r>
    </w:p>
  </w:footnote>
  <w:footnote w:id="7">
    <w:p w14:paraId="78B009C6" w14:textId="77777777" w:rsidR="00D37DF1" w:rsidRPr="00907E5B" w:rsidRDefault="00D37DF1" w:rsidP="006C3AF9">
      <w:pPr>
        <w:pStyle w:val="FootnoteText"/>
        <w:rPr>
          <w:sz w:val="18"/>
          <w:szCs w:val="18"/>
        </w:rPr>
      </w:pPr>
      <w:r w:rsidRPr="00907E5B">
        <w:rPr>
          <w:sz w:val="18"/>
          <w:szCs w:val="18"/>
        </w:rPr>
        <w:footnoteRef/>
      </w:r>
      <w:r w:rsidRPr="00907E5B">
        <w:rPr>
          <w:sz w:val="18"/>
          <w:szCs w:val="18"/>
        </w:rPr>
        <w:t xml:space="preserve">. Scheil-Adlung X, </w:t>
      </w:r>
      <w:r w:rsidRPr="00907E5B">
        <w:rPr>
          <w:i/>
          <w:sz w:val="18"/>
          <w:szCs w:val="18"/>
        </w:rPr>
        <w:t>Extension of Social Security: Long-term care protection for older persons: A review of coverage deficits in 46 countries</w:t>
      </w:r>
      <w:r w:rsidRPr="00907E5B">
        <w:rPr>
          <w:sz w:val="18"/>
          <w:szCs w:val="18"/>
        </w:rPr>
        <w:t xml:space="preserve">, ESS-Working Paper No. 50, ILO, 2015, p.xii </w:t>
      </w:r>
    </w:p>
  </w:footnote>
  <w:footnote w:id="8">
    <w:p w14:paraId="62C4BD95" w14:textId="77777777" w:rsidR="00D37DF1" w:rsidRPr="00907E5B" w:rsidRDefault="00D37DF1" w:rsidP="006C3AF9">
      <w:pPr>
        <w:pStyle w:val="FootnoteText"/>
        <w:rPr>
          <w:sz w:val="18"/>
          <w:szCs w:val="18"/>
        </w:rPr>
      </w:pPr>
      <w:r w:rsidRPr="00907E5B">
        <w:rPr>
          <w:rStyle w:val="FootnoteReference"/>
          <w:sz w:val="18"/>
          <w:szCs w:val="18"/>
        </w:rPr>
        <w:footnoteRef/>
      </w:r>
      <w:r w:rsidRPr="00907E5B">
        <w:rPr>
          <w:sz w:val="18"/>
          <w:szCs w:val="18"/>
        </w:rPr>
        <w:t xml:space="preserve"> European Minimum Income Network thematic report  on older people, 2014, </w:t>
      </w:r>
      <w:hyperlink r:id="rId2" w:history="1">
        <w:r w:rsidRPr="00907E5B">
          <w:rPr>
            <w:rStyle w:val="Hyperlink"/>
            <w:sz w:val="18"/>
            <w:szCs w:val="18"/>
          </w:rPr>
          <w:t>https://eminnetwork.files.wordpress.com/2014/12/emin-2014-adequacy-older-people-en.pdf</w:t>
        </w:r>
      </w:hyperlink>
      <w:r w:rsidRPr="00907E5B">
        <w:rPr>
          <w:sz w:val="18"/>
          <w:szCs w:val="18"/>
        </w:rPr>
        <w:t xml:space="preserve"> </w:t>
      </w:r>
    </w:p>
  </w:footnote>
  <w:footnote w:id="9">
    <w:p w14:paraId="30A9E295" w14:textId="77777777" w:rsidR="00D37DF1" w:rsidRPr="00907E5B" w:rsidRDefault="00D37DF1" w:rsidP="006C3AF9">
      <w:pPr>
        <w:pStyle w:val="FootnoteText"/>
        <w:rPr>
          <w:sz w:val="18"/>
          <w:szCs w:val="18"/>
        </w:rPr>
      </w:pPr>
      <w:r w:rsidRPr="00907E5B">
        <w:rPr>
          <w:rStyle w:val="FootnoteReference"/>
          <w:sz w:val="18"/>
          <w:szCs w:val="18"/>
        </w:rPr>
        <w:footnoteRef/>
      </w:r>
      <w:r w:rsidRPr="00907E5B">
        <w:rPr>
          <w:sz w:val="18"/>
          <w:szCs w:val="18"/>
        </w:rPr>
        <w:t xml:space="preserve"> World Social Protection Report 2017–19: Universal social protection to achieve the Sustainable Development Goals International Labour Office – Geneva: ILO, 2017, page 87</w:t>
      </w:r>
    </w:p>
  </w:footnote>
  <w:footnote w:id="10">
    <w:p w14:paraId="006645B9" w14:textId="77777777" w:rsidR="00D37DF1" w:rsidRPr="00907E5B" w:rsidRDefault="00D37DF1" w:rsidP="006C3AF9">
      <w:pPr>
        <w:spacing w:after="0" w:line="240" w:lineRule="auto"/>
        <w:rPr>
          <w:rFonts w:cstheme="minorHAnsi"/>
          <w:sz w:val="18"/>
          <w:szCs w:val="18"/>
        </w:rPr>
      </w:pPr>
      <w:r w:rsidRPr="00907E5B">
        <w:rPr>
          <w:rStyle w:val="FootnoteReference"/>
          <w:rFonts w:cstheme="minorHAnsi"/>
          <w:sz w:val="18"/>
          <w:szCs w:val="18"/>
        </w:rPr>
        <w:footnoteRef/>
      </w:r>
      <w:r w:rsidRPr="00907E5B">
        <w:rPr>
          <w:rFonts w:cstheme="minorHAnsi"/>
          <w:sz w:val="18"/>
          <w:szCs w:val="18"/>
        </w:rPr>
        <w:t xml:space="preserve"> World Social Protection Report 2017–19: Universal social protection to achieve the Sustainable Development Goals International Labour Office – Geneva: ILO, 2017, page 93</w:t>
      </w:r>
    </w:p>
  </w:footnote>
  <w:footnote w:id="11">
    <w:p w14:paraId="5DDAA5B6" w14:textId="615DC64B" w:rsidR="00986F83" w:rsidRPr="00986F83" w:rsidRDefault="00986F83">
      <w:pPr>
        <w:pStyle w:val="FootnoteText"/>
        <w:rPr>
          <w:lang w:val="en-US"/>
        </w:rPr>
      </w:pPr>
      <w:r w:rsidRPr="00907E5B">
        <w:rPr>
          <w:rStyle w:val="FootnoteReference"/>
          <w:sz w:val="18"/>
          <w:szCs w:val="18"/>
        </w:rPr>
        <w:footnoteRef/>
      </w:r>
      <w:r w:rsidRPr="00907E5B">
        <w:rPr>
          <w:sz w:val="18"/>
          <w:szCs w:val="18"/>
        </w:rPr>
        <w:t xml:space="preserve"> </w:t>
      </w:r>
      <w:r w:rsidRPr="00907E5B">
        <w:rPr>
          <w:sz w:val="18"/>
          <w:szCs w:val="18"/>
          <w:lang w:val="en-US"/>
        </w:rPr>
        <w:t>For example</w:t>
      </w:r>
      <w:r w:rsidR="00907E5B">
        <w:rPr>
          <w:sz w:val="18"/>
          <w:szCs w:val="18"/>
          <w:lang w:val="en-US"/>
        </w:rPr>
        <w:t>,</w:t>
      </w:r>
      <w:r w:rsidRPr="00907E5B">
        <w:rPr>
          <w:sz w:val="18"/>
          <w:szCs w:val="18"/>
          <w:lang w:val="en-US"/>
        </w:rPr>
        <w:t xml:space="preserve"> older women, older persons with disabilities, older widows, older migrants or refugees, older indigenous persons and those who have never contributed to a social security or social protection scheme.</w:t>
      </w:r>
    </w:p>
  </w:footnote>
  <w:footnote w:id="12">
    <w:p w14:paraId="707A7E0D" w14:textId="77777777" w:rsidR="006C3AF9" w:rsidRPr="00907E5B" w:rsidRDefault="006C3AF9" w:rsidP="006C3AF9">
      <w:pPr>
        <w:pStyle w:val="FootnoteText"/>
        <w:rPr>
          <w:sz w:val="18"/>
          <w:szCs w:val="18"/>
        </w:rPr>
      </w:pPr>
      <w:r w:rsidRPr="00907E5B">
        <w:rPr>
          <w:rStyle w:val="FootnoteReference"/>
          <w:sz w:val="18"/>
          <w:szCs w:val="18"/>
        </w:rPr>
        <w:footnoteRef/>
      </w:r>
      <w:r w:rsidRPr="00907E5B">
        <w:rPr>
          <w:sz w:val="18"/>
          <w:szCs w:val="18"/>
        </w:rPr>
        <w:t xml:space="preserve"> Gender gap in pensions in the European Union Journalist Thematic Network Riga, June 2015</w:t>
      </w:r>
    </w:p>
  </w:footnote>
  <w:footnote w:id="13">
    <w:p w14:paraId="46C1F31E" w14:textId="74DAA63C" w:rsidR="00D4155B" w:rsidRPr="00907E5B" w:rsidRDefault="00D4155B">
      <w:pPr>
        <w:pStyle w:val="FootnoteText"/>
        <w:rPr>
          <w:sz w:val="18"/>
          <w:szCs w:val="18"/>
          <w:lang w:val="en-AU"/>
        </w:rPr>
      </w:pPr>
      <w:r w:rsidRPr="00907E5B">
        <w:rPr>
          <w:rStyle w:val="FootnoteReference"/>
          <w:sz w:val="18"/>
          <w:szCs w:val="18"/>
        </w:rPr>
        <w:footnoteRef/>
      </w:r>
      <w:r w:rsidRPr="00907E5B">
        <w:rPr>
          <w:sz w:val="18"/>
          <w:szCs w:val="18"/>
        </w:rPr>
        <w:t xml:space="preserve"> </w:t>
      </w:r>
      <w:r w:rsidR="005F7D2D" w:rsidRPr="00907E5B">
        <w:rPr>
          <w:sz w:val="18"/>
          <w:szCs w:val="18"/>
        </w:rPr>
        <w:t>https://www.superannuation.asn.au/ArticleDocuments/359/1805-Women_Security_Retirement.pdf.aspx?Embed=Y</w:t>
      </w:r>
    </w:p>
  </w:footnote>
  <w:footnote w:id="14">
    <w:p w14:paraId="09A14CF5" w14:textId="77777777" w:rsidR="009B1D5F" w:rsidRPr="00907E5B" w:rsidRDefault="009B1D5F" w:rsidP="006C3AF9">
      <w:pPr>
        <w:pStyle w:val="FootnoteText"/>
        <w:rPr>
          <w:sz w:val="18"/>
          <w:szCs w:val="18"/>
        </w:rPr>
      </w:pPr>
      <w:r w:rsidRPr="00907E5B">
        <w:rPr>
          <w:rStyle w:val="FootnoteReference"/>
          <w:sz w:val="18"/>
          <w:szCs w:val="18"/>
        </w:rPr>
        <w:footnoteRef/>
      </w:r>
      <w:r w:rsidRPr="00907E5B">
        <w:rPr>
          <w:sz w:val="18"/>
          <w:szCs w:val="18"/>
        </w:rPr>
        <w:t xml:space="preserve"> Report of the Independent expert on the enjoyment of all human rights by older persons, A/HRC/30/43, 2015, paragraph 107</w:t>
      </w:r>
    </w:p>
  </w:footnote>
  <w:footnote w:id="15">
    <w:p w14:paraId="4C42E367" w14:textId="77777777" w:rsidR="00D37DF1" w:rsidRPr="00907E5B" w:rsidRDefault="00D37DF1" w:rsidP="006C3AF9">
      <w:pPr>
        <w:pStyle w:val="FootnoteText"/>
        <w:rPr>
          <w:sz w:val="18"/>
          <w:szCs w:val="18"/>
        </w:rPr>
      </w:pPr>
      <w:r w:rsidRPr="00907E5B">
        <w:rPr>
          <w:rStyle w:val="FootnoteReference"/>
          <w:sz w:val="18"/>
          <w:szCs w:val="18"/>
        </w:rPr>
        <w:footnoteRef/>
      </w:r>
      <w:r w:rsidRPr="00907E5B">
        <w:rPr>
          <w:sz w:val="18"/>
          <w:szCs w:val="18"/>
        </w:rPr>
        <w:t xml:space="preserve"> </w:t>
      </w:r>
      <w:hyperlink r:id="rId3" w:history="1">
        <w:r w:rsidRPr="00907E5B">
          <w:rPr>
            <w:rStyle w:val="Hyperlink"/>
            <w:sz w:val="18"/>
            <w:szCs w:val="18"/>
          </w:rPr>
          <w:t>https://ageing-equal.org/ageism-in-lifelong-learning/</w:t>
        </w:r>
      </w:hyperlink>
      <w:r w:rsidRPr="00907E5B">
        <w:rPr>
          <w:sz w:val="18"/>
          <w:szCs w:val="18"/>
        </w:rPr>
        <w:t xml:space="preserve"> </w:t>
      </w:r>
    </w:p>
  </w:footnote>
  <w:footnote w:id="16">
    <w:p w14:paraId="4B5F959D" w14:textId="77777777" w:rsidR="009B1D5F" w:rsidRPr="00907E5B" w:rsidRDefault="009B1D5F" w:rsidP="006C3AF9">
      <w:pPr>
        <w:pStyle w:val="FootnoteText"/>
        <w:rPr>
          <w:sz w:val="18"/>
          <w:szCs w:val="18"/>
        </w:rPr>
      </w:pPr>
      <w:r w:rsidRPr="00907E5B">
        <w:rPr>
          <w:rStyle w:val="FootnoteReference"/>
          <w:sz w:val="18"/>
          <w:szCs w:val="18"/>
        </w:rPr>
        <w:footnoteRef/>
      </w:r>
      <w:r w:rsidRPr="00907E5B">
        <w:rPr>
          <w:sz w:val="18"/>
          <w:szCs w:val="18"/>
        </w:rPr>
        <w:t xml:space="preserve"> AGE-Platform Europe, Written submission to the Committee on the Rights of Person with Disabilities on Draft of General Comment on Article 5 Equality &amp; Non-Discrimination, 2017, </w:t>
      </w:r>
      <w:hyperlink r:id="rId4" w:history="1">
        <w:r w:rsidRPr="00907E5B">
          <w:rPr>
            <w:rStyle w:val="Hyperlink"/>
            <w:sz w:val="18"/>
            <w:szCs w:val="18"/>
          </w:rPr>
          <w:t>https://age-platform.eu/sites/default/files/AGE_comments_on_Draft_GCArt5_CRPD_Nov2017.pdf</w:t>
        </w:r>
      </w:hyperlink>
      <w:r w:rsidRPr="00907E5B">
        <w:rPr>
          <w:sz w:val="18"/>
          <w:szCs w:val="18"/>
        </w:rPr>
        <w:t xml:space="preserve"> </w:t>
      </w:r>
    </w:p>
  </w:footnote>
  <w:footnote w:id="17">
    <w:p w14:paraId="2CFB8386" w14:textId="77777777" w:rsidR="009B1D5F" w:rsidRPr="00907E5B" w:rsidRDefault="009B1D5F" w:rsidP="006C3AF9">
      <w:pPr>
        <w:pStyle w:val="FootnoteText"/>
        <w:rPr>
          <w:sz w:val="18"/>
          <w:szCs w:val="18"/>
        </w:rPr>
      </w:pPr>
      <w:r w:rsidRPr="00907E5B">
        <w:rPr>
          <w:rStyle w:val="FootnoteReference"/>
          <w:sz w:val="18"/>
          <w:szCs w:val="18"/>
        </w:rPr>
        <w:footnoteRef/>
      </w:r>
      <w:r w:rsidRPr="00907E5B">
        <w:rPr>
          <w:sz w:val="18"/>
          <w:szCs w:val="18"/>
        </w:rPr>
        <w:t xml:space="preserve"> Report of the Independent expert on the enjoyment of all human rights by older persons, A/HRC/36/48, 2017, paragraph 58</w:t>
      </w:r>
    </w:p>
  </w:footnote>
  <w:footnote w:id="18">
    <w:p w14:paraId="47F17D34" w14:textId="77777777" w:rsidR="009B1D5F" w:rsidRPr="00907E5B" w:rsidRDefault="009B1D5F" w:rsidP="006C3AF9">
      <w:pPr>
        <w:pStyle w:val="FootnoteText"/>
        <w:rPr>
          <w:sz w:val="18"/>
          <w:szCs w:val="18"/>
        </w:rPr>
      </w:pPr>
      <w:r w:rsidRPr="00907E5B">
        <w:rPr>
          <w:rStyle w:val="FootnoteReference"/>
          <w:sz w:val="18"/>
          <w:szCs w:val="18"/>
        </w:rPr>
        <w:footnoteRef/>
      </w:r>
      <w:r w:rsidRPr="00907E5B">
        <w:rPr>
          <w:sz w:val="18"/>
          <w:szCs w:val="18"/>
        </w:rPr>
        <w:t xml:space="preserve"> Submission by the European Network on Independent Living to the 9</w:t>
      </w:r>
      <w:r w:rsidRPr="00907E5B">
        <w:rPr>
          <w:sz w:val="18"/>
          <w:szCs w:val="18"/>
          <w:vertAlign w:val="superscript"/>
        </w:rPr>
        <w:t>th</w:t>
      </w:r>
      <w:r w:rsidRPr="00907E5B">
        <w:rPr>
          <w:sz w:val="18"/>
          <w:szCs w:val="18"/>
        </w:rPr>
        <w:t xml:space="preserve"> OEWGA, 2018, </w:t>
      </w:r>
      <w:hyperlink r:id="rId5" w:history="1">
        <w:r w:rsidRPr="00907E5B">
          <w:rPr>
            <w:rStyle w:val="Hyperlink"/>
            <w:sz w:val="18"/>
            <w:szCs w:val="18"/>
          </w:rPr>
          <w:t>https://social.un.org/ageing-working-group/documents/ninth/Inputs%20NGOs/ENIL_Autonomy.pdf</w:t>
        </w:r>
      </w:hyperlink>
      <w:r w:rsidRPr="00907E5B">
        <w:rPr>
          <w:sz w:val="18"/>
          <w:szCs w:val="18"/>
        </w:rPr>
        <w:t xml:space="preserve"> </w:t>
      </w:r>
    </w:p>
  </w:footnote>
  <w:footnote w:id="19">
    <w:p w14:paraId="165CFF59" w14:textId="77777777" w:rsidR="009B1D5F" w:rsidRPr="00907E5B" w:rsidRDefault="009B1D5F" w:rsidP="006C3AF9">
      <w:pPr>
        <w:pStyle w:val="FootnoteText"/>
        <w:rPr>
          <w:sz w:val="18"/>
          <w:szCs w:val="18"/>
        </w:rPr>
      </w:pPr>
      <w:r w:rsidRPr="00907E5B">
        <w:rPr>
          <w:rStyle w:val="FootnoteReference"/>
          <w:sz w:val="18"/>
          <w:szCs w:val="18"/>
        </w:rPr>
        <w:footnoteRef/>
      </w:r>
      <w:r w:rsidRPr="00907E5B">
        <w:rPr>
          <w:sz w:val="18"/>
          <w:szCs w:val="18"/>
        </w:rPr>
        <w:t xml:space="preserve"> </w:t>
      </w:r>
      <w:hyperlink r:id="rId6" w:history="1">
        <w:r w:rsidRPr="00907E5B">
          <w:rPr>
            <w:rStyle w:val="Hyperlink"/>
            <w:sz w:val="18"/>
            <w:szCs w:val="18"/>
          </w:rPr>
          <w:t>https://www.mdfoundation.com.au/content/ndis-age-discrimination-acknowledged</w:t>
        </w:r>
      </w:hyperlink>
      <w:r w:rsidRPr="00907E5B">
        <w:rPr>
          <w:sz w:val="18"/>
          <w:szCs w:val="18"/>
        </w:rPr>
        <w:t xml:space="preserve"> </w:t>
      </w:r>
    </w:p>
  </w:footnote>
  <w:footnote w:id="20">
    <w:p w14:paraId="6E565F8D" w14:textId="20E6D793" w:rsidR="00D41D8B" w:rsidRPr="00907E5B" w:rsidRDefault="00D41D8B">
      <w:pPr>
        <w:pStyle w:val="FootnoteText"/>
        <w:rPr>
          <w:sz w:val="18"/>
          <w:szCs w:val="18"/>
          <w:lang w:val="en-AU"/>
        </w:rPr>
      </w:pPr>
      <w:r w:rsidRPr="00907E5B">
        <w:rPr>
          <w:rStyle w:val="FootnoteReference"/>
          <w:sz w:val="18"/>
          <w:szCs w:val="18"/>
        </w:rPr>
        <w:footnoteRef/>
      </w:r>
      <w:r w:rsidRPr="00907E5B">
        <w:rPr>
          <w:sz w:val="18"/>
          <w:szCs w:val="18"/>
        </w:rPr>
        <w:t xml:space="preserve"> </w:t>
      </w:r>
      <w:r w:rsidR="00491D90" w:rsidRPr="00907E5B">
        <w:rPr>
          <w:sz w:val="18"/>
          <w:szCs w:val="18"/>
        </w:rPr>
        <w:t xml:space="preserve">In </w:t>
      </w:r>
      <w:r w:rsidRPr="00907E5B">
        <w:rPr>
          <w:sz w:val="18"/>
          <w:szCs w:val="18"/>
          <w:lang w:val="en-AU"/>
        </w:rPr>
        <w:t>Australia</w:t>
      </w:r>
      <w:r w:rsidR="00491D90" w:rsidRPr="00907E5B">
        <w:rPr>
          <w:sz w:val="18"/>
          <w:szCs w:val="18"/>
          <w:lang w:val="en-AU"/>
        </w:rPr>
        <w:t xml:space="preserve"> </w:t>
      </w:r>
      <w:r w:rsidR="002F0611" w:rsidRPr="00907E5B">
        <w:rPr>
          <w:sz w:val="18"/>
          <w:szCs w:val="18"/>
          <w:lang w:val="en-AU"/>
        </w:rPr>
        <w:t>once,</w:t>
      </w:r>
      <w:r w:rsidR="00491D90" w:rsidRPr="00907E5B">
        <w:rPr>
          <w:sz w:val="18"/>
          <w:szCs w:val="18"/>
          <w:lang w:val="en-AU"/>
        </w:rPr>
        <w:t xml:space="preserve"> a person turns 65 they are not entitled to assistance under the </w:t>
      </w:r>
      <w:r w:rsidRPr="00907E5B">
        <w:rPr>
          <w:sz w:val="18"/>
          <w:szCs w:val="18"/>
          <w:lang w:val="en-AU"/>
        </w:rPr>
        <w:t>National Disability Insurance Scheme</w:t>
      </w:r>
      <w:r w:rsidR="00491D90" w:rsidRPr="00907E5B">
        <w:rPr>
          <w:sz w:val="18"/>
          <w:szCs w:val="18"/>
          <w:lang w:val="en-AU"/>
        </w:rPr>
        <w:t>: https://www.ndis.gov.au/what-consider-i-apply/am-i-eligible.</w:t>
      </w:r>
      <w:r w:rsidRPr="00907E5B">
        <w:rPr>
          <w:sz w:val="18"/>
          <w:szCs w:val="18"/>
          <w:lang w:val="en-AU"/>
        </w:rPr>
        <w:t xml:space="preserve"> </w:t>
      </w:r>
    </w:p>
  </w:footnote>
  <w:footnote w:id="21">
    <w:p w14:paraId="27F669FE" w14:textId="77777777" w:rsidR="009B1D5F" w:rsidRPr="00907E5B" w:rsidRDefault="009B1D5F" w:rsidP="006C3AF9">
      <w:pPr>
        <w:spacing w:after="0" w:line="240" w:lineRule="auto"/>
        <w:rPr>
          <w:rFonts w:cstheme="minorHAnsi"/>
          <w:b/>
          <w:sz w:val="18"/>
          <w:szCs w:val="18"/>
        </w:rPr>
      </w:pPr>
      <w:r w:rsidRPr="00907E5B">
        <w:rPr>
          <w:rStyle w:val="FootnoteReference"/>
          <w:sz w:val="18"/>
          <w:szCs w:val="18"/>
        </w:rPr>
        <w:footnoteRef/>
      </w:r>
      <w:r w:rsidRPr="00907E5B">
        <w:rPr>
          <w:sz w:val="18"/>
          <w:szCs w:val="18"/>
        </w:rPr>
        <w:t xml:space="preserve">  Discrimination in Belgian health care: People 65+ are excluded from refund for consulting a psychologist </w:t>
      </w:r>
      <w:hyperlink r:id="rId7" w:history="1">
        <w:r w:rsidRPr="00907E5B">
          <w:rPr>
            <w:rStyle w:val="Hyperlink"/>
            <w:sz w:val="18"/>
            <w:szCs w:val="18"/>
          </w:rPr>
          <w:t>http://ageing-equal.org/discrimination-in-belgian-health-care/</w:t>
        </w:r>
      </w:hyperlink>
    </w:p>
  </w:footnote>
  <w:footnote w:id="22">
    <w:p w14:paraId="5B21DF6D" w14:textId="77777777" w:rsidR="00360924" w:rsidRPr="006C3AF9" w:rsidRDefault="00360924" w:rsidP="006C3AF9">
      <w:pPr>
        <w:pStyle w:val="FootnoteText"/>
        <w:rPr>
          <w:sz w:val="18"/>
          <w:szCs w:val="18"/>
        </w:rPr>
      </w:pPr>
      <w:r w:rsidRPr="00907E5B">
        <w:rPr>
          <w:rStyle w:val="FootnoteReference"/>
          <w:sz w:val="18"/>
          <w:szCs w:val="18"/>
        </w:rPr>
        <w:footnoteRef/>
      </w:r>
      <w:r w:rsidRPr="00907E5B">
        <w:rPr>
          <w:sz w:val="18"/>
          <w:szCs w:val="18"/>
        </w:rPr>
        <w:t xml:space="preserve">   </w:t>
      </w:r>
      <w:hyperlink r:id="rId8" w:history="1">
        <w:r w:rsidRPr="00907E5B">
          <w:rPr>
            <w:rStyle w:val="Hyperlink"/>
            <w:sz w:val="18"/>
            <w:szCs w:val="18"/>
          </w:rPr>
          <w:t>https://www.aihw.gov.au/reports/life-expectancy-death/deaths-in-australia/contents/life-expectancy</w:t>
        </w:r>
      </w:hyperlink>
      <w:r w:rsidRPr="006C3AF9">
        <w:rPr>
          <w:sz w:val="18"/>
          <w:szCs w:val="18"/>
        </w:rPr>
        <w:t xml:space="preserve"> </w:t>
      </w:r>
    </w:p>
  </w:footnote>
  <w:footnote w:id="23">
    <w:p w14:paraId="3D8532D0" w14:textId="77777777" w:rsidR="00360924" w:rsidRPr="006C3AF9" w:rsidRDefault="00360924" w:rsidP="006C3AF9">
      <w:pPr>
        <w:pStyle w:val="FootnoteText"/>
        <w:rPr>
          <w:sz w:val="18"/>
          <w:szCs w:val="18"/>
        </w:rPr>
      </w:pPr>
      <w:r w:rsidRPr="006C3AF9">
        <w:rPr>
          <w:rStyle w:val="FootnoteReference"/>
          <w:sz w:val="18"/>
          <w:szCs w:val="18"/>
        </w:rPr>
        <w:footnoteRef/>
      </w:r>
      <w:r w:rsidRPr="006C3AF9">
        <w:rPr>
          <w:sz w:val="18"/>
          <w:szCs w:val="18"/>
        </w:rPr>
        <w:t xml:space="preserve"> Report of the Independent expert on the enjoyment of all human rights by older persons, A/HRC/36/48, 2017, paragraph 64</w:t>
      </w:r>
    </w:p>
  </w:footnote>
  <w:footnote w:id="24">
    <w:p w14:paraId="3169276A" w14:textId="77777777" w:rsidR="00D37DF1" w:rsidRPr="006C3AF9" w:rsidRDefault="00D37DF1" w:rsidP="006C3AF9">
      <w:pPr>
        <w:pStyle w:val="FootnoteText"/>
        <w:rPr>
          <w:sz w:val="18"/>
          <w:szCs w:val="18"/>
        </w:rPr>
      </w:pPr>
      <w:r w:rsidRPr="006C3AF9">
        <w:rPr>
          <w:rStyle w:val="FootnoteReference"/>
          <w:sz w:val="18"/>
          <w:szCs w:val="18"/>
        </w:rPr>
        <w:footnoteRef/>
      </w:r>
      <w:r w:rsidRPr="006C3AF9">
        <w:rPr>
          <w:sz w:val="18"/>
          <w:szCs w:val="18"/>
        </w:rPr>
        <w:t xml:space="preserve"> Pension Watch, </w:t>
      </w:r>
      <w:hyperlink r:id="rId9" w:history="1">
        <w:r w:rsidRPr="006C3AF9">
          <w:rPr>
            <w:rStyle w:val="Hyperlink"/>
            <w:sz w:val="18"/>
            <w:szCs w:val="18"/>
          </w:rPr>
          <w:t>http://www.pension-watch.net/pensions/voice-and-accountability/mozambique-older-citizen-monitoring-data/</w:t>
        </w:r>
      </w:hyperlink>
      <w:r w:rsidRPr="006C3AF9">
        <w:rPr>
          <w:sz w:val="18"/>
          <w:szCs w:val="18"/>
        </w:rPr>
        <w:t xml:space="preserve"> </w:t>
      </w:r>
    </w:p>
  </w:footnote>
  <w:footnote w:id="25">
    <w:p w14:paraId="493739B4" w14:textId="19372A07" w:rsidR="00D37DF1" w:rsidRPr="006C3AF9" w:rsidRDefault="00D37DF1" w:rsidP="006C3AF9">
      <w:pPr>
        <w:pStyle w:val="CommentText"/>
        <w:spacing w:after="0"/>
        <w:rPr>
          <w:sz w:val="18"/>
          <w:szCs w:val="18"/>
        </w:rPr>
      </w:pPr>
      <w:r w:rsidRPr="006C3AF9">
        <w:rPr>
          <w:rStyle w:val="FootnoteReference"/>
          <w:sz w:val="18"/>
          <w:szCs w:val="18"/>
        </w:rPr>
        <w:footnoteRef/>
      </w:r>
      <w:r w:rsidR="006C3AF9">
        <w:rPr>
          <w:sz w:val="18"/>
          <w:szCs w:val="18"/>
        </w:rPr>
        <w:t>The Law Council of Australia</w:t>
      </w:r>
      <w:r w:rsidRPr="006C3AF9">
        <w:rPr>
          <w:sz w:val="18"/>
          <w:szCs w:val="18"/>
        </w:rPr>
        <w:t xml:space="preserve">, </w:t>
      </w:r>
      <w:r w:rsidRPr="006C3AF9">
        <w:rPr>
          <w:i/>
          <w:sz w:val="18"/>
          <w:szCs w:val="18"/>
        </w:rPr>
        <w:t>The Justice Report - Older Persons</w:t>
      </w:r>
      <w:r w:rsidRPr="006C3AF9">
        <w:rPr>
          <w:sz w:val="18"/>
          <w:szCs w:val="18"/>
        </w:rPr>
        <w:t xml:space="preserve">, August 2018,  </w:t>
      </w:r>
      <w:hyperlink r:id="rId10" w:history="1">
        <w:r w:rsidRPr="006C3AF9">
          <w:rPr>
            <w:rStyle w:val="Hyperlink"/>
            <w:sz w:val="18"/>
            <w:szCs w:val="18"/>
          </w:rPr>
          <w:t>https://www.lawcouncil.asn.au/files/web-pdf/Justice%20Project/Final%20Report/Older%20Persons%20%28Part%201%29.pdf</w:t>
        </w:r>
      </w:hyperlink>
    </w:p>
    <w:p w14:paraId="66AD7E7D" w14:textId="77777777" w:rsidR="00D37DF1" w:rsidRDefault="00D37DF1" w:rsidP="00D37DF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1932F" w14:textId="77777777" w:rsidR="003A6C2A" w:rsidRDefault="003A6C2A" w:rsidP="0001656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861E42" w14:textId="71AF2DC2" w:rsidR="003A6C2A" w:rsidRDefault="00B75E36" w:rsidP="00F328C5">
    <w:pPr>
      <w:pStyle w:val="Header"/>
      <w:ind w:right="360"/>
    </w:pPr>
    <w:r>
      <w:rPr>
        <w:noProof/>
        <w:lang w:eastAsia="en-GB"/>
      </w:rPr>
      <mc:AlternateContent>
        <mc:Choice Requires="wps">
          <w:drawing>
            <wp:anchor distT="0" distB="0" distL="114300" distR="114300" simplePos="0" relativeHeight="251661312" behindDoc="0" locked="0" layoutInCell="1" allowOverlap="1" wp14:anchorId="12A8A178" wp14:editId="0B3A9EFA">
              <wp:simplePos x="0" y="0"/>
              <wp:positionH relativeFrom="column">
                <wp:posOffset>0</wp:posOffset>
              </wp:positionH>
              <wp:positionV relativeFrom="paragraph">
                <wp:posOffset>0</wp:posOffset>
              </wp:positionV>
              <wp:extent cx="914400" cy="914400"/>
              <wp:effectExtent l="0" t="0" r="0" b="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30EB7C8" id="_x0000_t202" coordsize="21600,21600" o:spt="202" path="m,l,21600r21600,l21600,xe">
              <v:stroke joinstyle="miter"/>
              <v:path gradientshapeok="t" o:connecttype="rect"/>
            </v:shapetype>
            <v:shape id="WordArt 2"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ez0fg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7054" w14:textId="11371248" w:rsidR="003A6C2A" w:rsidRPr="00B75E36" w:rsidRDefault="003A6C2A" w:rsidP="00016569">
    <w:pPr>
      <w:pStyle w:val="Header"/>
      <w:framePr w:wrap="around" w:vAnchor="text" w:hAnchor="margin" w:xAlign="right" w:y="1"/>
      <w:rPr>
        <w:rStyle w:val="PageNumber"/>
        <w:rFonts w:ascii="Times New Roman" w:hAnsi="Times New Roman" w:cs="Times New Roman"/>
      </w:rPr>
    </w:pPr>
    <w:r w:rsidRPr="00B75E36">
      <w:rPr>
        <w:rStyle w:val="PageNumber"/>
        <w:rFonts w:ascii="Times New Roman" w:hAnsi="Times New Roman" w:cs="Times New Roman"/>
      </w:rPr>
      <w:fldChar w:fldCharType="begin"/>
    </w:r>
    <w:r w:rsidRPr="00B75E36">
      <w:rPr>
        <w:rStyle w:val="PageNumber"/>
        <w:rFonts w:ascii="Times New Roman" w:hAnsi="Times New Roman" w:cs="Times New Roman"/>
      </w:rPr>
      <w:instrText xml:space="preserve">PAGE  </w:instrText>
    </w:r>
    <w:r w:rsidRPr="00B75E36">
      <w:rPr>
        <w:rStyle w:val="PageNumber"/>
        <w:rFonts w:ascii="Times New Roman" w:hAnsi="Times New Roman" w:cs="Times New Roman"/>
      </w:rPr>
      <w:fldChar w:fldCharType="separate"/>
    </w:r>
    <w:r w:rsidR="00DD34FE">
      <w:rPr>
        <w:rStyle w:val="PageNumber"/>
        <w:rFonts w:ascii="Times New Roman" w:hAnsi="Times New Roman" w:cs="Times New Roman"/>
        <w:noProof/>
      </w:rPr>
      <w:t>2</w:t>
    </w:r>
    <w:r w:rsidRPr="00B75E36">
      <w:rPr>
        <w:rStyle w:val="PageNumber"/>
        <w:rFonts w:ascii="Times New Roman" w:hAnsi="Times New Roman" w:cs="Times New Roman"/>
      </w:rPr>
      <w:fldChar w:fldCharType="end"/>
    </w:r>
  </w:p>
  <w:p w14:paraId="2A105032" w14:textId="687B57D2" w:rsidR="003A6C2A" w:rsidRDefault="00B75E36" w:rsidP="00F328C5">
    <w:pPr>
      <w:pStyle w:val="Header"/>
      <w:ind w:right="360"/>
    </w:pPr>
    <w:r>
      <w:rPr>
        <w:noProof/>
        <w:lang w:eastAsia="en-GB"/>
      </w:rPr>
      <mc:AlternateContent>
        <mc:Choice Requires="wps">
          <w:drawing>
            <wp:anchor distT="0" distB="0" distL="114300" distR="114300" simplePos="0" relativeHeight="251659264" behindDoc="0" locked="0" layoutInCell="1" allowOverlap="1" wp14:anchorId="0063E9F9" wp14:editId="19B5A511">
              <wp:simplePos x="0" y="0"/>
              <wp:positionH relativeFrom="column">
                <wp:posOffset>0</wp:posOffset>
              </wp:positionH>
              <wp:positionV relativeFrom="paragraph">
                <wp:posOffset>0</wp:posOffset>
              </wp:positionV>
              <wp:extent cx="914400" cy="914400"/>
              <wp:effectExtent l="0" t="0" r="0" b="0"/>
              <wp:wrapNone/>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ADDDEA" id="_x0000_t202" coordsize="21600,21600" o:spt="202" path="m,l,21600r21600,l21600,xe">
              <v:stroke joinstyle="miter"/>
              <v:path gradientshapeok="t" o:connecttype="rect"/>
            </v:shapetype>
            <v:shape id="WordArt 1" o:spid="_x0000_s1026" type="#_x0000_t202" style="position:absolute;margin-left:0;margin-top:0;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" filled="f" stroked="f">
              <o:lock v:ext="edit" text="t" shapetype="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04E64" w14:textId="7C957B46" w:rsidR="003A6C2A" w:rsidRPr="00D37DF1" w:rsidRDefault="001A3BD4">
    <w:pPr>
      <w:pStyle w:val="Header"/>
      <w:rPr>
        <w:rFonts w:cstheme="minorHAnsi"/>
        <w:sz w:val="20"/>
        <w:szCs w:val="20"/>
      </w:rPr>
    </w:pPr>
    <w:r w:rsidRPr="00D37DF1">
      <w:rPr>
        <w:rFonts w:cstheme="minorHAnsi"/>
        <w:noProof/>
        <w:sz w:val="20"/>
        <w:szCs w:val="20"/>
        <w:lang w:eastAsia="en-GB"/>
      </w:rPr>
      <mc:AlternateContent>
        <mc:Choice Requires="wps">
          <w:drawing>
            <wp:anchor distT="0" distB="0" distL="114300" distR="114300" simplePos="0" relativeHeight="251663360" behindDoc="0" locked="0" layoutInCell="1" allowOverlap="1" wp14:anchorId="79534A28" wp14:editId="08178A78">
              <wp:simplePos x="0" y="0"/>
              <wp:positionH relativeFrom="column">
                <wp:posOffset>379562</wp:posOffset>
              </wp:positionH>
              <wp:positionV relativeFrom="paragraph">
                <wp:posOffset>8626</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86DDA47" id="_x0000_t202" coordsize="21600,21600" o:spt="202" path="m,l,21600r21600,l21600,xe">
              <v:stroke joinstyle="miter"/>
              <v:path gradientshapeok="t" o:connecttype="rect"/>
            </v:shapetype>
            <v:shape id="WordArt 3" o:spid="_x0000_s1026" type="#_x0000_t202" style="position:absolute;margin-left:29.9pt;margin-top:.7pt;width:1in;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" filled="f" stroked="f">
              <o:lock v:ext="edit" text="t" shapetype="t"/>
            </v:shape>
          </w:pict>
        </mc:Fallback>
      </mc:AlternateContent>
    </w:r>
    <w:r w:rsidR="00D3276E" w:rsidRPr="00D37DF1">
      <w:rPr>
        <w:rFonts w:cstheme="minorHAnsi"/>
        <w:noProof/>
        <w:sz w:val="20"/>
        <w:szCs w:val="20"/>
        <w:lang w:eastAsia="en-GB"/>
      </w:rPr>
      <w:t>February 2019</w:t>
    </w:r>
    <w:r w:rsidRPr="00D37DF1">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829"/>
    <w:multiLevelType w:val="hybridMultilevel"/>
    <w:tmpl w:val="8CCE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E29F2"/>
    <w:multiLevelType w:val="hybridMultilevel"/>
    <w:tmpl w:val="86CC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51CCF"/>
    <w:multiLevelType w:val="hybridMultilevel"/>
    <w:tmpl w:val="ABDC93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5430B2C"/>
    <w:multiLevelType w:val="hybridMultilevel"/>
    <w:tmpl w:val="B560A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872FD"/>
    <w:multiLevelType w:val="hybridMultilevel"/>
    <w:tmpl w:val="2A56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D5257"/>
    <w:multiLevelType w:val="hybridMultilevel"/>
    <w:tmpl w:val="2F788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23582"/>
    <w:multiLevelType w:val="hybridMultilevel"/>
    <w:tmpl w:val="19D8B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607FE"/>
    <w:multiLevelType w:val="hybridMultilevel"/>
    <w:tmpl w:val="988C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D5602C"/>
    <w:multiLevelType w:val="hybridMultilevel"/>
    <w:tmpl w:val="854C50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7C2992"/>
    <w:multiLevelType w:val="hybridMultilevel"/>
    <w:tmpl w:val="F454EE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31C10A9"/>
    <w:multiLevelType w:val="hybridMultilevel"/>
    <w:tmpl w:val="4F6445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26545"/>
    <w:multiLevelType w:val="hybridMultilevel"/>
    <w:tmpl w:val="8B2C9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D856CF"/>
    <w:multiLevelType w:val="hybridMultilevel"/>
    <w:tmpl w:val="111C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F13F11"/>
    <w:multiLevelType w:val="hybridMultilevel"/>
    <w:tmpl w:val="E318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56405"/>
    <w:multiLevelType w:val="hybridMultilevel"/>
    <w:tmpl w:val="E286C4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48720D4B"/>
    <w:multiLevelType w:val="hybridMultilevel"/>
    <w:tmpl w:val="3C9C7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E257E"/>
    <w:multiLevelType w:val="hybridMultilevel"/>
    <w:tmpl w:val="33D2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11732C"/>
    <w:multiLevelType w:val="hybridMultilevel"/>
    <w:tmpl w:val="9D42662C"/>
    <w:lvl w:ilvl="0" w:tplc="09822F5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A809E0"/>
    <w:multiLevelType w:val="hybridMultilevel"/>
    <w:tmpl w:val="3CAAD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E272C"/>
    <w:multiLevelType w:val="hybridMultilevel"/>
    <w:tmpl w:val="07CE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666D8"/>
    <w:multiLevelType w:val="hybridMultilevel"/>
    <w:tmpl w:val="84BE0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12ECA"/>
    <w:multiLevelType w:val="hybridMultilevel"/>
    <w:tmpl w:val="6AB63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C660AC7"/>
    <w:multiLevelType w:val="hybridMultilevel"/>
    <w:tmpl w:val="6950B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F55851"/>
    <w:multiLevelType w:val="hybridMultilevel"/>
    <w:tmpl w:val="A67EB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A87A22"/>
    <w:multiLevelType w:val="hybridMultilevel"/>
    <w:tmpl w:val="99666FC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AE05956"/>
    <w:multiLevelType w:val="hybridMultilevel"/>
    <w:tmpl w:val="01AA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3F1CB1"/>
    <w:multiLevelType w:val="hybridMultilevel"/>
    <w:tmpl w:val="37C8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C71CAE"/>
    <w:multiLevelType w:val="hybridMultilevel"/>
    <w:tmpl w:val="C8A62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11DD3"/>
    <w:multiLevelType w:val="hybridMultilevel"/>
    <w:tmpl w:val="A13AA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085CBF"/>
    <w:multiLevelType w:val="hybridMultilevel"/>
    <w:tmpl w:val="8556AD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907477A"/>
    <w:multiLevelType w:val="hybridMultilevel"/>
    <w:tmpl w:val="3258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70622E"/>
    <w:multiLevelType w:val="hybridMultilevel"/>
    <w:tmpl w:val="959C2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FF51FFB"/>
    <w:multiLevelType w:val="hybridMultilevel"/>
    <w:tmpl w:val="145E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5"/>
  </w:num>
  <w:num w:numId="4">
    <w:abstractNumId w:val="21"/>
  </w:num>
  <w:num w:numId="5">
    <w:abstractNumId w:val="28"/>
  </w:num>
  <w:num w:numId="6">
    <w:abstractNumId w:val="31"/>
  </w:num>
  <w:num w:numId="7">
    <w:abstractNumId w:val="23"/>
  </w:num>
  <w:num w:numId="8">
    <w:abstractNumId w:val="14"/>
  </w:num>
  <w:num w:numId="9">
    <w:abstractNumId w:val="18"/>
  </w:num>
  <w:num w:numId="10">
    <w:abstractNumId w:val="24"/>
  </w:num>
  <w:num w:numId="11">
    <w:abstractNumId w:val="4"/>
  </w:num>
  <w:num w:numId="12">
    <w:abstractNumId w:val="17"/>
  </w:num>
  <w:num w:numId="13">
    <w:abstractNumId w:val="26"/>
  </w:num>
  <w:num w:numId="14">
    <w:abstractNumId w:val="22"/>
  </w:num>
  <w:num w:numId="15">
    <w:abstractNumId w:val="25"/>
  </w:num>
  <w:num w:numId="16">
    <w:abstractNumId w:val="7"/>
  </w:num>
  <w:num w:numId="17">
    <w:abstractNumId w:val="3"/>
  </w:num>
  <w:num w:numId="18">
    <w:abstractNumId w:val="15"/>
  </w:num>
  <w:num w:numId="19">
    <w:abstractNumId w:val="27"/>
  </w:num>
  <w:num w:numId="20">
    <w:abstractNumId w:val="2"/>
  </w:num>
  <w:num w:numId="21">
    <w:abstractNumId w:val="6"/>
  </w:num>
  <w:num w:numId="22">
    <w:abstractNumId w:val="0"/>
  </w:num>
  <w:num w:numId="23">
    <w:abstractNumId w:val="8"/>
  </w:num>
  <w:num w:numId="24">
    <w:abstractNumId w:val="9"/>
  </w:num>
  <w:num w:numId="25">
    <w:abstractNumId w:val="13"/>
  </w:num>
  <w:num w:numId="26">
    <w:abstractNumId w:val="29"/>
  </w:num>
  <w:num w:numId="27">
    <w:abstractNumId w:val="11"/>
  </w:num>
  <w:num w:numId="28">
    <w:abstractNumId w:val="32"/>
  </w:num>
  <w:num w:numId="29">
    <w:abstractNumId w:val="19"/>
  </w:num>
  <w:num w:numId="30">
    <w:abstractNumId w:val="16"/>
  </w:num>
  <w:num w:numId="31">
    <w:abstractNumId w:val="12"/>
  </w:num>
  <w:num w:numId="32">
    <w:abstractNumId w:val="1"/>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032"/>
    <w:rsid w:val="000016DC"/>
    <w:rsid w:val="0001054D"/>
    <w:rsid w:val="00016569"/>
    <w:rsid w:val="00054828"/>
    <w:rsid w:val="00056C80"/>
    <w:rsid w:val="00065DA8"/>
    <w:rsid w:val="000778AD"/>
    <w:rsid w:val="00091798"/>
    <w:rsid w:val="000A0C3F"/>
    <w:rsid w:val="000A3630"/>
    <w:rsid w:val="000A4D0F"/>
    <w:rsid w:val="000C1173"/>
    <w:rsid w:val="000D3F83"/>
    <w:rsid w:val="000E3D09"/>
    <w:rsid w:val="000F4AA3"/>
    <w:rsid w:val="00106978"/>
    <w:rsid w:val="00114888"/>
    <w:rsid w:val="0014775A"/>
    <w:rsid w:val="0015003F"/>
    <w:rsid w:val="00151CE6"/>
    <w:rsid w:val="001522B6"/>
    <w:rsid w:val="001560CF"/>
    <w:rsid w:val="001608DB"/>
    <w:rsid w:val="00163F3F"/>
    <w:rsid w:val="0017041F"/>
    <w:rsid w:val="00171B42"/>
    <w:rsid w:val="00183E1F"/>
    <w:rsid w:val="00187975"/>
    <w:rsid w:val="001A2A5E"/>
    <w:rsid w:val="001A3BD4"/>
    <w:rsid w:val="001B2D97"/>
    <w:rsid w:val="001C01D7"/>
    <w:rsid w:val="001C12DA"/>
    <w:rsid w:val="001C1EBD"/>
    <w:rsid w:val="001C1F41"/>
    <w:rsid w:val="00216465"/>
    <w:rsid w:val="002239CE"/>
    <w:rsid w:val="002503F0"/>
    <w:rsid w:val="0025429E"/>
    <w:rsid w:val="00257529"/>
    <w:rsid w:val="00257743"/>
    <w:rsid w:val="00260F6F"/>
    <w:rsid w:val="002702E9"/>
    <w:rsid w:val="00290383"/>
    <w:rsid w:val="002F0611"/>
    <w:rsid w:val="002F40CB"/>
    <w:rsid w:val="003428A4"/>
    <w:rsid w:val="00344349"/>
    <w:rsid w:val="0035407A"/>
    <w:rsid w:val="00354E1B"/>
    <w:rsid w:val="00360924"/>
    <w:rsid w:val="00371257"/>
    <w:rsid w:val="0038293C"/>
    <w:rsid w:val="00396657"/>
    <w:rsid w:val="003979DE"/>
    <w:rsid w:val="003A5047"/>
    <w:rsid w:val="003A6C2A"/>
    <w:rsid w:val="003B1F73"/>
    <w:rsid w:val="003B69BB"/>
    <w:rsid w:val="003C15D2"/>
    <w:rsid w:val="003C3853"/>
    <w:rsid w:val="003F3267"/>
    <w:rsid w:val="003F7194"/>
    <w:rsid w:val="0041615C"/>
    <w:rsid w:val="00426815"/>
    <w:rsid w:val="004403C6"/>
    <w:rsid w:val="0044131C"/>
    <w:rsid w:val="00442DBE"/>
    <w:rsid w:val="00443098"/>
    <w:rsid w:val="00453A78"/>
    <w:rsid w:val="004725F9"/>
    <w:rsid w:val="00491D90"/>
    <w:rsid w:val="004A7336"/>
    <w:rsid w:val="004A748C"/>
    <w:rsid w:val="004C26DD"/>
    <w:rsid w:val="004E7668"/>
    <w:rsid w:val="004E7A65"/>
    <w:rsid w:val="004F33AF"/>
    <w:rsid w:val="0050763D"/>
    <w:rsid w:val="00543597"/>
    <w:rsid w:val="00573A56"/>
    <w:rsid w:val="00575D45"/>
    <w:rsid w:val="00594AC1"/>
    <w:rsid w:val="005A3BCB"/>
    <w:rsid w:val="005B35B5"/>
    <w:rsid w:val="005E4BC8"/>
    <w:rsid w:val="005F7D2D"/>
    <w:rsid w:val="00601FD0"/>
    <w:rsid w:val="0061315F"/>
    <w:rsid w:val="006377F3"/>
    <w:rsid w:val="00661FAB"/>
    <w:rsid w:val="00676BF8"/>
    <w:rsid w:val="006C3AF9"/>
    <w:rsid w:val="006C67DE"/>
    <w:rsid w:val="006D7A7D"/>
    <w:rsid w:val="006E7A96"/>
    <w:rsid w:val="006F7CE8"/>
    <w:rsid w:val="007243C1"/>
    <w:rsid w:val="00750046"/>
    <w:rsid w:val="007665A6"/>
    <w:rsid w:val="00775226"/>
    <w:rsid w:val="00791896"/>
    <w:rsid w:val="00793365"/>
    <w:rsid w:val="007954AF"/>
    <w:rsid w:val="007B27F5"/>
    <w:rsid w:val="007B6696"/>
    <w:rsid w:val="007E08C6"/>
    <w:rsid w:val="007E3E63"/>
    <w:rsid w:val="008027AD"/>
    <w:rsid w:val="00806982"/>
    <w:rsid w:val="008170A5"/>
    <w:rsid w:val="00833279"/>
    <w:rsid w:val="00867220"/>
    <w:rsid w:val="00872E3F"/>
    <w:rsid w:val="008B7908"/>
    <w:rsid w:val="008D1252"/>
    <w:rsid w:val="008D4C26"/>
    <w:rsid w:val="008E7D7D"/>
    <w:rsid w:val="00907E5B"/>
    <w:rsid w:val="00911A53"/>
    <w:rsid w:val="00937CD9"/>
    <w:rsid w:val="009402BF"/>
    <w:rsid w:val="00964760"/>
    <w:rsid w:val="00975D99"/>
    <w:rsid w:val="00986F83"/>
    <w:rsid w:val="009A10D8"/>
    <w:rsid w:val="009B1D5F"/>
    <w:rsid w:val="009B261A"/>
    <w:rsid w:val="009E293E"/>
    <w:rsid w:val="00A05EFE"/>
    <w:rsid w:val="00A0784F"/>
    <w:rsid w:val="00A176F5"/>
    <w:rsid w:val="00A20D0D"/>
    <w:rsid w:val="00A80D76"/>
    <w:rsid w:val="00A85570"/>
    <w:rsid w:val="00AA4F76"/>
    <w:rsid w:val="00AE2F73"/>
    <w:rsid w:val="00AF6BDE"/>
    <w:rsid w:val="00B0774A"/>
    <w:rsid w:val="00B10E36"/>
    <w:rsid w:val="00B15F15"/>
    <w:rsid w:val="00B40884"/>
    <w:rsid w:val="00B50F58"/>
    <w:rsid w:val="00B64C07"/>
    <w:rsid w:val="00B75E36"/>
    <w:rsid w:val="00B94173"/>
    <w:rsid w:val="00BA7720"/>
    <w:rsid w:val="00BB7226"/>
    <w:rsid w:val="00BB7774"/>
    <w:rsid w:val="00BD0579"/>
    <w:rsid w:val="00BE46AD"/>
    <w:rsid w:val="00BE5F3A"/>
    <w:rsid w:val="00BF3B23"/>
    <w:rsid w:val="00C00F95"/>
    <w:rsid w:val="00C02F60"/>
    <w:rsid w:val="00C54AA0"/>
    <w:rsid w:val="00C56F6E"/>
    <w:rsid w:val="00C74032"/>
    <w:rsid w:val="00C80FEF"/>
    <w:rsid w:val="00CA51DE"/>
    <w:rsid w:val="00CB3AD6"/>
    <w:rsid w:val="00CC0795"/>
    <w:rsid w:val="00CD6087"/>
    <w:rsid w:val="00CE5940"/>
    <w:rsid w:val="00CF2FA2"/>
    <w:rsid w:val="00CF4B0A"/>
    <w:rsid w:val="00D01A8A"/>
    <w:rsid w:val="00D20CE0"/>
    <w:rsid w:val="00D266F7"/>
    <w:rsid w:val="00D3276E"/>
    <w:rsid w:val="00D37DF1"/>
    <w:rsid w:val="00D4155B"/>
    <w:rsid w:val="00D41D8B"/>
    <w:rsid w:val="00D54941"/>
    <w:rsid w:val="00D63CA6"/>
    <w:rsid w:val="00DA1671"/>
    <w:rsid w:val="00DA5FE9"/>
    <w:rsid w:val="00DB217B"/>
    <w:rsid w:val="00DD2D27"/>
    <w:rsid w:val="00DD3478"/>
    <w:rsid w:val="00DD34FE"/>
    <w:rsid w:val="00DE4CA0"/>
    <w:rsid w:val="00DF34E4"/>
    <w:rsid w:val="00DF37C2"/>
    <w:rsid w:val="00E0795F"/>
    <w:rsid w:val="00E26058"/>
    <w:rsid w:val="00E33899"/>
    <w:rsid w:val="00E41A88"/>
    <w:rsid w:val="00E45377"/>
    <w:rsid w:val="00E65CBF"/>
    <w:rsid w:val="00E83246"/>
    <w:rsid w:val="00EB4A34"/>
    <w:rsid w:val="00ED0940"/>
    <w:rsid w:val="00ED7EAE"/>
    <w:rsid w:val="00EE0842"/>
    <w:rsid w:val="00EF1698"/>
    <w:rsid w:val="00F01D1B"/>
    <w:rsid w:val="00F17DEF"/>
    <w:rsid w:val="00F328C5"/>
    <w:rsid w:val="00F32E4D"/>
    <w:rsid w:val="00F34543"/>
    <w:rsid w:val="00F37BAF"/>
    <w:rsid w:val="00F420C6"/>
    <w:rsid w:val="00F45FDC"/>
    <w:rsid w:val="00F46179"/>
    <w:rsid w:val="00F62D7F"/>
    <w:rsid w:val="00F726A1"/>
    <w:rsid w:val="00F74596"/>
    <w:rsid w:val="00F748BE"/>
    <w:rsid w:val="00F97D48"/>
    <w:rsid w:val="00FA4E36"/>
    <w:rsid w:val="00FA766E"/>
    <w:rsid w:val="00FB6B24"/>
    <w:rsid w:val="00FC0FD5"/>
    <w:rsid w:val="00FF37F0"/>
    <w:rsid w:val="00FF6A9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51DB78"/>
  <w15:docId w15:val="{FB6DDFA2-55CA-4FEF-A34C-79C43990F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0884"/>
    <w:rPr>
      <w:sz w:val="16"/>
      <w:szCs w:val="16"/>
    </w:rPr>
  </w:style>
  <w:style w:type="paragraph" w:styleId="CommentText">
    <w:name w:val="annotation text"/>
    <w:basedOn w:val="Normal"/>
    <w:link w:val="CommentTextChar"/>
    <w:uiPriority w:val="99"/>
    <w:unhideWhenUsed/>
    <w:rsid w:val="00B40884"/>
    <w:pPr>
      <w:spacing w:line="240" w:lineRule="auto"/>
    </w:pPr>
    <w:rPr>
      <w:sz w:val="20"/>
      <w:szCs w:val="20"/>
    </w:rPr>
  </w:style>
  <w:style w:type="character" w:customStyle="1" w:styleId="CommentTextChar">
    <w:name w:val="Comment Text Char"/>
    <w:basedOn w:val="DefaultParagraphFont"/>
    <w:link w:val="CommentText"/>
    <w:uiPriority w:val="99"/>
    <w:rsid w:val="00B40884"/>
    <w:rPr>
      <w:sz w:val="20"/>
      <w:szCs w:val="20"/>
    </w:rPr>
  </w:style>
  <w:style w:type="paragraph" w:styleId="CommentSubject">
    <w:name w:val="annotation subject"/>
    <w:basedOn w:val="CommentText"/>
    <w:next w:val="CommentText"/>
    <w:link w:val="CommentSubjectChar"/>
    <w:uiPriority w:val="99"/>
    <w:semiHidden/>
    <w:unhideWhenUsed/>
    <w:rsid w:val="00B40884"/>
    <w:rPr>
      <w:b/>
      <w:bCs/>
    </w:rPr>
  </w:style>
  <w:style w:type="character" w:customStyle="1" w:styleId="CommentSubjectChar">
    <w:name w:val="Comment Subject Char"/>
    <w:basedOn w:val="CommentTextChar"/>
    <w:link w:val="CommentSubject"/>
    <w:uiPriority w:val="99"/>
    <w:semiHidden/>
    <w:rsid w:val="00B40884"/>
    <w:rPr>
      <w:b/>
      <w:bCs/>
      <w:sz w:val="20"/>
      <w:szCs w:val="20"/>
    </w:rPr>
  </w:style>
  <w:style w:type="paragraph" w:styleId="BalloonText">
    <w:name w:val="Balloon Text"/>
    <w:basedOn w:val="Normal"/>
    <w:link w:val="BalloonTextChar"/>
    <w:uiPriority w:val="99"/>
    <w:semiHidden/>
    <w:unhideWhenUsed/>
    <w:rsid w:val="00B40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884"/>
    <w:rPr>
      <w:rFonts w:ascii="Tahoma" w:hAnsi="Tahoma" w:cs="Tahoma"/>
      <w:sz w:val="16"/>
      <w:szCs w:val="16"/>
    </w:rPr>
  </w:style>
  <w:style w:type="paragraph" w:styleId="NoSpacing">
    <w:name w:val="No Spacing"/>
    <w:uiPriority w:val="1"/>
    <w:qFormat/>
    <w:rsid w:val="00091798"/>
    <w:pPr>
      <w:spacing w:after="0" w:line="240" w:lineRule="auto"/>
    </w:pPr>
    <w:rPr>
      <w:rFonts w:eastAsiaTheme="minorEastAsia"/>
      <w:lang w:val="en-US" w:eastAsia="ja-JP"/>
    </w:rPr>
  </w:style>
  <w:style w:type="paragraph" w:styleId="FootnoteText">
    <w:name w:val="footnote text"/>
    <w:aliases w:val="5_G,Footnote Text Char Char Char Char Char,Footnote Text Char Char Char Char,Footnote reference,FA Fu,Footnote Text Char Char Char,Footnote Text Cha,FA Fußnotentext,FA Fuﬂnotentext,Footnote Text Char Char,FA Fu?notente,Ca,n"/>
    <w:basedOn w:val="Normal"/>
    <w:link w:val="FootnoteTextChar"/>
    <w:uiPriority w:val="99"/>
    <w:unhideWhenUsed/>
    <w:qFormat/>
    <w:rsid w:val="008B7908"/>
    <w:pPr>
      <w:spacing w:after="0" w:line="240" w:lineRule="auto"/>
    </w:pPr>
    <w:rPr>
      <w:sz w:val="20"/>
      <w:szCs w:val="20"/>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Text Cha Char,FA Fußnotentext Char,FA Fuﬂnotentext Char,n Char"/>
    <w:basedOn w:val="DefaultParagraphFont"/>
    <w:link w:val="FootnoteText"/>
    <w:uiPriority w:val="99"/>
    <w:rsid w:val="008B7908"/>
    <w:rPr>
      <w:sz w:val="20"/>
      <w:szCs w:val="20"/>
    </w:rPr>
  </w:style>
  <w:style w:type="character" w:styleId="FootnoteReference">
    <w:name w:val="footnote reference"/>
    <w:aliases w:val="4_G,Texto de nota al pie,Appel note de bas de page,Footnotes refss,Footnote number,referencia nota al pie,BVI fnr,f,16 Point,Superscript 6 Point,Texto nota al pie,Footnote Reference Char3,Footnote Reference Char1 Char,Footnote symbol"/>
    <w:basedOn w:val="DefaultParagraphFont"/>
    <w:link w:val="BVIfnrCarCarCarCar1"/>
    <w:uiPriority w:val="99"/>
    <w:unhideWhenUsed/>
    <w:qFormat/>
    <w:rsid w:val="008B7908"/>
    <w:rPr>
      <w:vertAlign w:val="superscript"/>
    </w:rPr>
  </w:style>
  <w:style w:type="paragraph" w:styleId="ListParagraph">
    <w:name w:val="List Paragraph"/>
    <w:aliases w:val="Bullet"/>
    <w:basedOn w:val="Normal"/>
    <w:uiPriority w:val="34"/>
    <w:qFormat/>
    <w:rsid w:val="000C1173"/>
    <w:pPr>
      <w:ind w:left="720"/>
      <w:contextualSpacing/>
    </w:pPr>
  </w:style>
  <w:style w:type="paragraph" w:styleId="Header">
    <w:name w:val="header"/>
    <w:basedOn w:val="Normal"/>
    <w:link w:val="HeaderChar"/>
    <w:uiPriority w:val="99"/>
    <w:unhideWhenUsed/>
    <w:rsid w:val="007665A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665A6"/>
  </w:style>
  <w:style w:type="paragraph" w:styleId="Footer">
    <w:name w:val="footer"/>
    <w:basedOn w:val="Normal"/>
    <w:link w:val="FooterChar"/>
    <w:uiPriority w:val="99"/>
    <w:unhideWhenUsed/>
    <w:rsid w:val="007665A6"/>
    <w:pPr>
      <w:tabs>
        <w:tab w:val="center" w:pos="4320"/>
        <w:tab w:val="right" w:pos="8640"/>
      </w:tabs>
      <w:spacing w:after="0" w:line="240" w:lineRule="auto"/>
    </w:pPr>
  </w:style>
  <w:style w:type="character" w:customStyle="1" w:styleId="FooterChar">
    <w:name w:val="Footer Char"/>
    <w:basedOn w:val="DefaultParagraphFont"/>
    <w:link w:val="Footer"/>
    <w:uiPriority w:val="99"/>
    <w:rsid w:val="007665A6"/>
  </w:style>
  <w:style w:type="character" w:styleId="PageNumber">
    <w:name w:val="page number"/>
    <w:basedOn w:val="DefaultParagraphFont"/>
    <w:uiPriority w:val="99"/>
    <w:semiHidden/>
    <w:unhideWhenUsed/>
    <w:rsid w:val="00F328C5"/>
  </w:style>
  <w:style w:type="character" w:styleId="Hyperlink">
    <w:name w:val="Hyperlink"/>
    <w:basedOn w:val="DefaultParagraphFont"/>
    <w:uiPriority w:val="99"/>
    <w:unhideWhenUsed/>
    <w:rsid w:val="00AE2F73"/>
    <w:rPr>
      <w:color w:val="0000FF" w:themeColor="hyperlink"/>
      <w:u w:val="single"/>
    </w:rPr>
  </w:style>
  <w:style w:type="character" w:styleId="FollowedHyperlink">
    <w:name w:val="FollowedHyperlink"/>
    <w:basedOn w:val="DefaultParagraphFont"/>
    <w:uiPriority w:val="99"/>
    <w:semiHidden/>
    <w:unhideWhenUsed/>
    <w:rsid w:val="00C54AA0"/>
    <w:rPr>
      <w:color w:val="800080" w:themeColor="followedHyperlink"/>
      <w:u w:val="single"/>
    </w:rPr>
  </w:style>
  <w:style w:type="paragraph" w:customStyle="1" w:styleId="BVIfnrCarCarCarCar1">
    <w:name w:val="BVI fnr Car Car Car Car1"/>
    <w:basedOn w:val="Normal"/>
    <w:link w:val="FootnoteReference"/>
    <w:uiPriority w:val="99"/>
    <w:rsid w:val="000E3D09"/>
    <w:pPr>
      <w:spacing w:before="120" w:after="160" w:line="240" w:lineRule="exact"/>
      <w:jc w:val="both"/>
    </w:pPr>
    <w:rPr>
      <w:shd w:val="clear" w:color="auto" w:fill="FFFF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054">
      <w:bodyDiv w:val="1"/>
      <w:marLeft w:val="0"/>
      <w:marRight w:val="0"/>
      <w:marTop w:val="0"/>
      <w:marBottom w:val="0"/>
      <w:divBdr>
        <w:top w:val="none" w:sz="0" w:space="0" w:color="auto"/>
        <w:left w:val="none" w:sz="0" w:space="0" w:color="auto"/>
        <w:bottom w:val="none" w:sz="0" w:space="0" w:color="auto"/>
        <w:right w:val="none" w:sz="0" w:space="0" w:color="auto"/>
      </w:divBdr>
    </w:div>
    <w:div w:id="1227060469">
      <w:bodyDiv w:val="1"/>
      <w:marLeft w:val="0"/>
      <w:marRight w:val="0"/>
      <w:marTop w:val="0"/>
      <w:marBottom w:val="0"/>
      <w:divBdr>
        <w:top w:val="none" w:sz="0" w:space="0" w:color="auto"/>
        <w:left w:val="none" w:sz="0" w:space="0" w:color="auto"/>
        <w:bottom w:val="none" w:sz="0" w:space="0" w:color="auto"/>
        <w:right w:val="none" w:sz="0" w:space="0" w:color="auto"/>
      </w:divBdr>
      <w:divsChild>
        <w:div w:id="285434747">
          <w:marLeft w:val="0"/>
          <w:marRight w:val="0"/>
          <w:marTop w:val="0"/>
          <w:marBottom w:val="0"/>
          <w:divBdr>
            <w:top w:val="none" w:sz="0" w:space="0" w:color="auto"/>
            <w:left w:val="none" w:sz="0" w:space="0" w:color="auto"/>
            <w:bottom w:val="none" w:sz="0" w:space="0" w:color="auto"/>
            <w:right w:val="none" w:sz="0" w:space="0" w:color="auto"/>
          </w:divBdr>
        </w:div>
        <w:div w:id="45643777">
          <w:marLeft w:val="0"/>
          <w:marRight w:val="0"/>
          <w:marTop w:val="0"/>
          <w:marBottom w:val="0"/>
          <w:divBdr>
            <w:top w:val="none" w:sz="0" w:space="0" w:color="auto"/>
            <w:left w:val="none" w:sz="0" w:space="0" w:color="auto"/>
            <w:bottom w:val="none" w:sz="0" w:space="0" w:color="auto"/>
            <w:right w:val="none" w:sz="0" w:space="0" w:color="auto"/>
          </w:divBdr>
        </w:div>
        <w:div w:id="1472678107">
          <w:marLeft w:val="0"/>
          <w:marRight w:val="0"/>
          <w:marTop w:val="0"/>
          <w:marBottom w:val="0"/>
          <w:divBdr>
            <w:top w:val="none" w:sz="0" w:space="0" w:color="auto"/>
            <w:left w:val="none" w:sz="0" w:space="0" w:color="auto"/>
            <w:bottom w:val="none" w:sz="0" w:space="0" w:color="auto"/>
            <w:right w:val="none" w:sz="0" w:space="0" w:color="auto"/>
          </w:divBdr>
        </w:div>
        <w:div w:id="99689688">
          <w:marLeft w:val="0"/>
          <w:marRight w:val="0"/>
          <w:marTop w:val="0"/>
          <w:marBottom w:val="0"/>
          <w:divBdr>
            <w:top w:val="none" w:sz="0" w:space="0" w:color="auto"/>
            <w:left w:val="none" w:sz="0" w:space="0" w:color="auto"/>
            <w:bottom w:val="none" w:sz="0" w:space="0" w:color="auto"/>
            <w:right w:val="none" w:sz="0" w:space="0" w:color="auto"/>
          </w:divBdr>
        </w:div>
        <w:div w:id="1971786881">
          <w:marLeft w:val="0"/>
          <w:marRight w:val="0"/>
          <w:marTop w:val="0"/>
          <w:marBottom w:val="0"/>
          <w:divBdr>
            <w:top w:val="none" w:sz="0" w:space="0" w:color="auto"/>
            <w:left w:val="none" w:sz="0" w:space="0" w:color="auto"/>
            <w:bottom w:val="none" w:sz="0" w:space="0" w:color="auto"/>
            <w:right w:val="none" w:sz="0" w:space="0" w:color="auto"/>
          </w:divBdr>
        </w:div>
        <w:div w:id="573781964">
          <w:marLeft w:val="0"/>
          <w:marRight w:val="0"/>
          <w:marTop w:val="0"/>
          <w:marBottom w:val="0"/>
          <w:divBdr>
            <w:top w:val="none" w:sz="0" w:space="0" w:color="auto"/>
            <w:left w:val="none" w:sz="0" w:space="0" w:color="auto"/>
            <w:bottom w:val="none" w:sz="0" w:space="0" w:color="auto"/>
            <w:right w:val="none" w:sz="0" w:space="0" w:color="auto"/>
          </w:divBdr>
        </w:div>
        <w:div w:id="604339514">
          <w:marLeft w:val="0"/>
          <w:marRight w:val="0"/>
          <w:marTop w:val="0"/>
          <w:marBottom w:val="0"/>
          <w:divBdr>
            <w:top w:val="none" w:sz="0" w:space="0" w:color="auto"/>
            <w:left w:val="none" w:sz="0" w:space="0" w:color="auto"/>
            <w:bottom w:val="none" w:sz="0" w:space="0" w:color="auto"/>
            <w:right w:val="none" w:sz="0" w:space="0" w:color="auto"/>
          </w:divBdr>
        </w:div>
      </w:divsChild>
    </w:div>
    <w:div w:id="1263496562">
      <w:bodyDiv w:val="1"/>
      <w:marLeft w:val="0"/>
      <w:marRight w:val="0"/>
      <w:marTop w:val="0"/>
      <w:marBottom w:val="0"/>
      <w:divBdr>
        <w:top w:val="none" w:sz="0" w:space="0" w:color="auto"/>
        <w:left w:val="none" w:sz="0" w:space="0" w:color="auto"/>
        <w:bottom w:val="none" w:sz="0" w:space="0" w:color="auto"/>
        <w:right w:val="none" w:sz="0" w:space="0" w:color="auto"/>
      </w:divBdr>
      <w:divsChild>
        <w:div w:id="2048871306">
          <w:marLeft w:val="0"/>
          <w:marRight w:val="0"/>
          <w:marTop w:val="0"/>
          <w:marBottom w:val="0"/>
          <w:divBdr>
            <w:top w:val="none" w:sz="0" w:space="0" w:color="auto"/>
            <w:left w:val="none" w:sz="0" w:space="0" w:color="auto"/>
            <w:bottom w:val="none" w:sz="0" w:space="0" w:color="auto"/>
            <w:right w:val="none" w:sz="0" w:space="0" w:color="auto"/>
          </w:divBdr>
        </w:div>
        <w:div w:id="2108112816">
          <w:marLeft w:val="0"/>
          <w:marRight w:val="0"/>
          <w:marTop w:val="0"/>
          <w:marBottom w:val="0"/>
          <w:divBdr>
            <w:top w:val="none" w:sz="0" w:space="0" w:color="auto"/>
            <w:left w:val="none" w:sz="0" w:space="0" w:color="auto"/>
            <w:bottom w:val="none" w:sz="0" w:space="0" w:color="auto"/>
            <w:right w:val="none" w:sz="0" w:space="0" w:color="auto"/>
          </w:divBdr>
        </w:div>
      </w:divsChild>
    </w:div>
    <w:div w:id="153029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aihw.gov.au/reports/life-expectancy-death/deaths-in-australia/contents/life-expectancy" TargetMode="External"/><Relationship Id="rId3" Type="http://schemas.openxmlformats.org/officeDocument/2006/relationships/hyperlink" Target="https://ageing-equal.org/ageism-in-lifelong-learning/" TargetMode="External"/><Relationship Id="rId7" Type="http://schemas.openxmlformats.org/officeDocument/2006/relationships/hyperlink" Target="http://ageing-equal.org/discrimination-in-belgian-health-care/" TargetMode="External"/><Relationship Id="rId2" Type="http://schemas.openxmlformats.org/officeDocument/2006/relationships/hyperlink" Target="https://eminnetwork.files.wordpress.com/2014/12/emin-2014-adequacy-older-people-en.pdf" TargetMode="External"/><Relationship Id="rId1" Type="http://schemas.openxmlformats.org/officeDocument/2006/relationships/hyperlink" Target="mailto:bsleap@helpage.org" TargetMode="External"/><Relationship Id="rId6" Type="http://schemas.openxmlformats.org/officeDocument/2006/relationships/hyperlink" Target="https://www.mdfoundation.com.au/content/ndis-age-discrimination-acknowledged" TargetMode="External"/><Relationship Id="rId5" Type="http://schemas.openxmlformats.org/officeDocument/2006/relationships/hyperlink" Target="https://social.un.org/ageing-working-group/documents/ninth/Inputs%20NGOs/ENIL_Autonomy.pdf" TargetMode="External"/><Relationship Id="rId10" Type="http://schemas.openxmlformats.org/officeDocument/2006/relationships/hyperlink" Target="https://www.lawcouncil.asn.au/files/web-pdf/Justice%20Project/Final%20Report/Older%20Persons%20%28Part%201%29.pdf" TargetMode="External"/><Relationship Id="rId4" Type="http://schemas.openxmlformats.org/officeDocument/2006/relationships/hyperlink" Target="https://age-platform.eu/sites/default/files/AGE_comments_on_Draft_GCArt5_CRPD_Nov2017.pdf" TargetMode="External"/><Relationship Id="rId9" Type="http://schemas.openxmlformats.org/officeDocument/2006/relationships/hyperlink" Target="http://www.pension-watch.net/pensions/voice-and-accountability/mozambique-older-citizen-monitorin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01A8-F0FE-4752-A1BF-9F3BDCABE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1693</Words>
  <Characters>9654</Characters>
  <Application>Microsoft Office Word</Application>
  <DocSecurity>0</DocSecurity>
  <Lines>80</Lines>
  <Paragraphs>22</Paragraphs>
  <ScaleCrop>false</ScaleCrop>
  <HeadingPairs>
    <vt:vector size="6" baseType="variant">
      <vt:variant>
        <vt:lpstr>Title</vt:lpstr>
      </vt:variant>
      <vt:variant>
        <vt:i4>1</vt:i4>
      </vt:variant>
      <vt:variant>
        <vt:lpstr>שם</vt:lpstr>
      </vt:variant>
      <vt:variant>
        <vt:i4>1</vt:i4>
      </vt:variant>
      <vt:variant>
        <vt:lpstr>Título</vt:lpstr>
      </vt:variant>
      <vt:variant>
        <vt:i4>1</vt:i4>
      </vt:variant>
    </vt:vector>
  </HeadingPairs>
  <TitlesOfParts>
    <vt:vector size="3" baseType="lpstr">
      <vt:lpstr/>
      <vt:lpstr/>
      <vt:lpstr/>
    </vt:vector>
  </TitlesOfParts>
  <Company>United Nations</Company>
  <LinksUpToDate>false</LinksUpToDate>
  <CharactersWithSpaces>11325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Lane</dc:creator>
  <cp:lastModifiedBy>Bridget Sleap</cp:lastModifiedBy>
  <cp:revision>3</cp:revision>
  <cp:lastPrinted>2018-02-09T08:49:00Z</cp:lastPrinted>
  <dcterms:created xsi:type="dcterms:W3CDTF">2019-02-01T10:26:00Z</dcterms:created>
  <dcterms:modified xsi:type="dcterms:W3CDTF">2019-02-01T10:27:00Z</dcterms:modified>
</cp:coreProperties>
</file>